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DDF67">
      <w:pPr>
        <w:jc w:val="center"/>
        <w:rPr>
          <w:rFonts w:ascii="黑体" w:eastAsia="黑体"/>
          <w:sz w:val="32"/>
          <w:szCs w:val="32"/>
        </w:rPr>
      </w:pPr>
      <w:r>
        <w:rPr>
          <w:rFonts w:hint="eastAsia" w:ascii="黑体" w:eastAsia="黑体"/>
          <w:sz w:val="32"/>
          <w:szCs w:val="32"/>
        </w:rPr>
        <w:t>广东财经大学硕士研究生入学考试试卷</w:t>
      </w:r>
    </w:p>
    <w:p w14:paraId="2238C8ED">
      <w:pPr>
        <w:adjustRightInd w:val="0"/>
        <w:snapToGrid w:val="0"/>
        <w:rPr>
          <w:rFonts w:ascii="仿宋_GB2312" w:eastAsia="仿宋_GB2312"/>
          <w:b/>
          <w:sz w:val="24"/>
        </w:rPr>
      </w:pPr>
      <w:r>
        <w:rPr>
          <w:rFonts w:hint="eastAsia" w:ascii="仿宋_GB2312" w:eastAsia="仿宋_GB2312"/>
          <w:b/>
          <w:sz w:val="24"/>
        </w:rPr>
        <w:t>考试年度：</w:t>
      </w:r>
      <w:r>
        <w:rPr>
          <w:rFonts w:hint="eastAsia" w:ascii="仿宋_GB2312" w:eastAsia="仿宋_GB2312"/>
          <w:sz w:val="24"/>
          <w:u w:val="single"/>
        </w:rPr>
        <w:t>202</w:t>
      </w:r>
      <w:r>
        <w:rPr>
          <w:rFonts w:hint="eastAsia" w:ascii="仿宋_GB2312" w:eastAsia="仿宋_GB2312"/>
          <w:sz w:val="24"/>
          <w:u w:val="single"/>
          <w:lang w:val="en-US" w:eastAsia="zh-CN"/>
        </w:rPr>
        <w:t>4</w:t>
      </w:r>
      <w:r>
        <w:rPr>
          <w:rFonts w:hint="eastAsia" w:ascii="仿宋_GB2312" w:eastAsia="仿宋_GB2312"/>
          <w:sz w:val="24"/>
          <w:u w:val="single"/>
        </w:rPr>
        <w:t>年</w:t>
      </w:r>
      <w:r>
        <w:rPr>
          <w:rFonts w:hint="eastAsia" w:ascii="仿宋_GB2312" w:eastAsia="仿宋_GB2312"/>
          <w:sz w:val="24"/>
        </w:rPr>
        <w:t xml:space="preserve">  　　　　</w:t>
      </w:r>
      <w:r>
        <w:rPr>
          <w:rFonts w:hint="eastAsia" w:ascii="仿宋_GB2312" w:eastAsia="仿宋_GB2312"/>
          <w:b/>
          <w:sz w:val="24"/>
        </w:rPr>
        <w:t>考试科目代码及名称：</w:t>
      </w:r>
      <w:bookmarkStart w:id="0" w:name="_GoBack"/>
      <w:r>
        <w:rPr>
          <w:rFonts w:hint="eastAsia" w:ascii="仿宋_GB2312" w:eastAsia="仿宋_GB2312"/>
          <w:sz w:val="24"/>
          <w:u w:val="single"/>
        </w:rPr>
        <w:t>433-税务专业基础</w:t>
      </w:r>
      <w:bookmarkEnd w:id="0"/>
      <w:r>
        <w:rPr>
          <w:rFonts w:hint="eastAsia" w:ascii="仿宋_GB2312" w:hAnsi="仿宋" w:eastAsia="仿宋_GB2312"/>
          <w:sz w:val="24"/>
          <w:u w:val="single"/>
        </w:rPr>
        <w:t>(自命题)</w:t>
      </w:r>
      <w:r>
        <w:rPr>
          <w:rFonts w:hint="eastAsia" w:ascii="仿宋_GB2312" w:hAnsi="仿宋" w:eastAsia="仿宋_GB2312"/>
          <w:b/>
          <w:sz w:val="24"/>
        </w:rPr>
        <w:t xml:space="preserve"> </w:t>
      </w:r>
      <w:r>
        <w:rPr>
          <w:rFonts w:hint="eastAsia" w:ascii="仿宋_GB2312" w:eastAsia="仿宋_GB2312"/>
          <w:b/>
          <w:sz w:val="24"/>
        </w:rPr>
        <w:t xml:space="preserve">  </w:t>
      </w:r>
    </w:p>
    <w:p w14:paraId="518143A4">
      <w:pPr>
        <w:adjustRightInd w:val="0"/>
        <w:snapToGrid w:val="0"/>
        <w:rPr>
          <w:rFonts w:ascii="仿宋_GB2312" w:eastAsia="仿宋_GB2312"/>
          <w:sz w:val="24"/>
          <w:u w:val="single"/>
        </w:rPr>
      </w:pPr>
      <w:r>
        <w:rPr>
          <w:rFonts w:hint="eastAsia" w:ascii="仿宋_GB2312" w:eastAsia="仿宋_GB2312"/>
          <w:b/>
          <w:sz w:val="24"/>
        </w:rPr>
        <w:t>适用专业：</w:t>
      </w:r>
      <w:r>
        <w:rPr>
          <w:rFonts w:hint="eastAsia" w:ascii="仿宋_GB2312" w:eastAsia="仿宋_GB2312"/>
          <w:sz w:val="24"/>
          <w:u w:val="single"/>
        </w:rPr>
        <w:t>025300 税务</w:t>
      </w:r>
    </w:p>
    <w:p w14:paraId="41B5D8B0">
      <w:pPr>
        <w:adjustRightInd w:val="0"/>
        <w:snapToGrid w:val="0"/>
        <w:rPr>
          <w:rFonts w:ascii="仿宋_GB2312" w:eastAsia="仿宋_GB2312"/>
          <w:sz w:val="24"/>
          <w:u w:val="single"/>
        </w:rPr>
      </w:pPr>
    </w:p>
    <w:p w14:paraId="3DD75434">
      <w:pPr>
        <w:widowControl/>
        <w:numPr>
          <w:ilvl w:val="0"/>
          <w:numId w:val="1"/>
        </w:numPr>
        <w:snapToGrid w:val="0"/>
        <w:spacing w:line="360" w:lineRule="auto"/>
        <w:rPr>
          <w:rFonts w:ascii="仿宋_GB2312" w:hAnsi="仿宋" w:eastAsia="仿宋_GB2312"/>
          <w:b/>
          <w:sz w:val="24"/>
        </w:rPr>
      </w:pPr>
      <w:r>
        <w:rPr>
          <w:rFonts w:hint="eastAsia" w:ascii="仿宋_GB2312" w:hAnsi="仿宋" w:eastAsia="仿宋_GB2312"/>
          <w:b/>
          <w:sz w:val="24"/>
        </w:rPr>
        <w:t>简答题（5题，每题10分，共50分）</w:t>
      </w:r>
    </w:p>
    <w:p w14:paraId="4DC5728F">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1．税收的特征有哪些？</w:t>
      </w:r>
    </w:p>
    <w:p w14:paraId="31250C15">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2．什么是价内税和价外税？有何区别？</w:t>
      </w:r>
    </w:p>
    <w:p w14:paraId="2B974FB4">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3．世界上有哪两类主要税制结构模式？简述其各自优缺点？</w:t>
      </w:r>
    </w:p>
    <w:p w14:paraId="1F858589">
      <w:pPr>
        <w:widowControl/>
        <w:snapToGrid w:val="0"/>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．税负转嫁的方式有哪几种？简述其含义？</w:t>
      </w:r>
    </w:p>
    <w:p w14:paraId="375D4119">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5．简述税收管辖权的基本内容？</w:t>
      </w:r>
    </w:p>
    <w:p w14:paraId="7A133450">
      <w:pPr>
        <w:widowControl/>
        <w:numPr>
          <w:ilvl w:val="0"/>
          <w:numId w:val="1"/>
        </w:numPr>
        <w:snapToGrid w:val="0"/>
        <w:spacing w:line="360" w:lineRule="auto"/>
        <w:rPr>
          <w:rFonts w:ascii="仿宋_GB2312" w:hAnsi="仿宋" w:eastAsia="仿宋_GB2312"/>
          <w:b/>
          <w:sz w:val="24"/>
        </w:rPr>
      </w:pPr>
      <w:r>
        <w:rPr>
          <w:rFonts w:hint="eastAsia" w:ascii="仿宋_GB2312" w:hAnsi="仿宋" w:eastAsia="仿宋_GB2312"/>
          <w:b/>
          <w:sz w:val="24"/>
        </w:rPr>
        <w:t>材料分析题（5题，每题10分，共50分）</w:t>
      </w:r>
    </w:p>
    <w:p w14:paraId="3EA291F1">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1．党的二十大报告提出，“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14:paraId="7E25917F">
      <w:pPr>
        <w:widowControl/>
        <w:ind w:firstLine="480" w:firstLineChars="200"/>
        <w:jc w:val="left"/>
        <w:rPr>
          <w:rFonts w:ascii="仿宋" w:hAnsi="仿宋" w:eastAsia="仿宋" w:cs="仿宋"/>
          <w:sz w:val="24"/>
        </w:rPr>
      </w:pPr>
      <w:r>
        <w:rPr>
          <w:rFonts w:hint="eastAsia" w:ascii="仿宋" w:hAnsi="仿宋" w:eastAsia="仿宋" w:cs="仿宋"/>
          <w:sz w:val="24"/>
        </w:rPr>
        <w:t>请结合所学知识，从环境保护税、资源税和绿色税收优惠政策三个角度谈一谈如何更好的加快发展方式绿色转型。</w:t>
      </w:r>
    </w:p>
    <w:p w14:paraId="078EC41F">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2.2023年《政府工作报告》提出，通过市场化机制激励企业创新，不断提高企业研发费用加计扣除比例，将制造业企业、科技型中小企业分别从50%、75%提高至100%，并阶段性扩大到所有适用行业。</w:t>
      </w:r>
    </w:p>
    <w:p w14:paraId="6EEB3C4F">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请问什么是研发费用加计扣除政策？其属于税额式优惠还是税基式优惠？其在支持企业发展中一般发挥了何种作用？</w:t>
      </w:r>
    </w:p>
    <w:p w14:paraId="20BF735B">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3.2023年7月中共中央政治局召开会议强调：要积极扩大国内需求，发挥消费拉动经济增长的基础性作用，通过增加居民收入扩大消费，通过终端需求带动有效供给，把实施扩大内需战略同深化供给侧结构性改革有机结合起来。</w:t>
      </w:r>
    </w:p>
    <w:p w14:paraId="5C498F72">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请结合税收的调节作用，分析税收如何在收入端（个人所得税）和生产端（增值税和消费税）积极扩大国内需求？</w:t>
      </w:r>
    </w:p>
    <w:p w14:paraId="4444719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中共中央办公厅、国务院办公厅印发的《关于进一步深化税收征管改革的意见》提出，建立健全以“信用+风险”为基础的新型监管机制。健全守信激励和失信惩戒制度，充分发挥纳税信用在社会信用体系中的基础性作用。建立健全纳税缴费信用评价制度，对纳税缴费信用高的市场主体给予更多便利。在全面推行实名办税缴费制度基础上，实行纳税人缴费人动态信用等级分类和智能化风险监管，既以最严格的标准防范逃避税，又避免影响企业正常生产经营。健全以“数据集成+优质服务+提醒纠错+依法查处”为主要内容的自然人税费服务与监管体系。依法加强对高收入高净值人员的税费服务与监管。</w:t>
      </w:r>
    </w:p>
    <w:p w14:paraId="75E7DDE2">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结合所学知识，谈一谈加强纳税信用管理的主要作用和意义。</w:t>
      </w:r>
    </w:p>
    <w:p w14:paraId="38D67A07">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5.作为全球最大的科技公司之一，苹果的财务策略一直备受关注。他们是如何在全球范围内进行复杂的且巧妙的税务操作，从而避免缴纳数千亿美元的税款呢？</w:t>
      </w:r>
      <w:r>
        <w:rPr>
          <w:rFonts w:ascii="仿宋" w:hAnsi="仿宋" w:eastAsia="仿宋" w:cs="仿宋"/>
          <w:sz w:val="24"/>
        </w:rPr>
        <w:t>首先，苹果通过在其海外子公司之间反复转移利润，利用税收政策的不同，成功地减少了公司需要缴纳的税款。这些策略包括将专利权转让给低税率的国家或地区，以及将研发和销售业务转移至海外。其次，苹果还利用了一个名为“Double Irish”的税收策略，通过两个爱尔兰子公司来转移利润，从而避免在美国和其他高税收国家纳税。虽然这些策略在法律上是合法的和合规的，但它们引发了关于跨国公司利用税收规则避税的道德和公平性问题。</w:t>
      </w:r>
      <w:r>
        <w:rPr>
          <w:rFonts w:ascii="仿宋" w:hAnsi="仿宋" w:eastAsia="仿宋" w:cs="仿宋"/>
          <w:sz w:val="24"/>
        </w:rPr>
        <w:br w:type="textWrapping"/>
      </w:r>
      <w:r>
        <w:rPr>
          <w:rFonts w:hint="eastAsia" w:ascii="仿宋" w:hAnsi="仿宋" w:eastAsia="仿宋" w:cs="仿宋"/>
          <w:sz w:val="24"/>
        </w:rPr>
        <w:t xml:space="preserve">   请结合所学知识，谈一谈国际反避税有哪些主要方法。</w:t>
      </w:r>
    </w:p>
    <w:p w14:paraId="0880E729">
      <w:pPr>
        <w:pStyle w:val="2"/>
        <w:rPr>
          <w:rFonts w:ascii="仿宋_GB2312" w:hAnsi="仿宋" w:eastAsia="仿宋_GB2312"/>
          <w:b/>
          <w:sz w:val="24"/>
        </w:rPr>
      </w:pPr>
      <w:r>
        <w:rPr>
          <w:rFonts w:hint="eastAsia" w:ascii="仿宋_GB2312" w:hAnsi="仿宋" w:eastAsia="仿宋_GB2312"/>
          <w:b/>
          <w:sz w:val="24"/>
        </w:rPr>
        <w:t>三、计算题（2题，每题10分，共20分）</w:t>
      </w:r>
    </w:p>
    <w:p w14:paraId="7FCFDF6E">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某公司6月进口高级品牌女包一批，买价70万元，</w:t>
      </w:r>
    </w:p>
    <w:p w14:paraId="733894A7">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（1）运抵境内第一口岸支付运费、保险费等5万元；</w:t>
      </w:r>
    </w:p>
    <w:p w14:paraId="4A34BFB1">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（2）关税税率40%；</w:t>
      </w:r>
    </w:p>
    <w:p w14:paraId="4BBD79E5">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（3）消费税税率20%；</w:t>
      </w:r>
    </w:p>
    <w:p w14:paraId="7C8A6AFB">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要求：根据上述资料，计算该批化妆品进口环节应纳增值税数额（增值税税率按13%计算，保留小数点后两位）。</w:t>
      </w:r>
    </w:p>
    <w:p w14:paraId="5B36CC99">
      <w:pPr>
        <w:widowControl/>
        <w:snapToGrid w:val="0"/>
        <w:spacing w:line="360" w:lineRule="auto"/>
        <w:ind w:firstLine="240" w:firstLineChars="1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某企业2019年度取得主营业务收入2,100万元，</w:t>
      </w:r>
    </w:p>
    <w:p w14:paraId="6BC8790B">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（1）其他业务收入300万元，</w:t>
      </w:r>
    </w:p>
    <w:p w14:paraId="4B78DDAE">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（2）投资收益200万元，营业外收入15万元，</w:t>
      </w:r>
    </w:p>
    <w:p w14:paraId="45583FF8">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（3）假定企业该年度实际发生的业务招待费分别为17万元和25万元。</w:t>
      </w:r>
    </w:p>
    <w:p w14:paraId="00EC50C0">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要求：根据上述资料，分别计算可以在税前扣除和不得扣除的业务招待费金额。</w:t>
      </w:r>
    </w:p>
    <w:p w14:paraId="7008309D">
      <w:pPr>
        <w:widowControl/>
        <w:snapToGrid w:val="0"/>
        <w:spacing w:line="360" w:lineRule="auto"/>
        <w:rPr>
          <w:rFonts w:ascii="仿宋_GB2312" w:hAnsi="仿宋" w:eastAsia="仿宋_GB2312"/>
          <w:b/>
          <w:sz w:val="24"/>
        </w:rPr>
      </w:pPr>
      <w:r>
        <w:rPr>
          <w:rFonts w:hint="eastAsia" w:ascii="仿宋_GB2312" w:hAnsi="仿宋" w:eastAsia="仿宋_GB2312"/>
          <w:b/>
          <w:sz w:val="24"/>
        </w:rPr>
        <w:t>四、论述题（2题，每题15分，共30分）</w:t>
      </w:r>
    </w:p>
    <w:p w14:paraId="7368F724">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请你阐述分析</w:t>
      </w:r>
      <w:r>
        <w:rPr>
          <w:rFonts w:hint="eastAsia" w:ascii="仿宋" w:hAnsi="仿宋" w:eastAsia="仿宋" w:cs="仿宋"/>
          <w:sz w:val="24"/>
          <w:lang w:val="en-US" w:eastAsia="zh-CN"/>
        </w:rPr>
        <w:t>党的</w:t>
      </w:r>
      <w:r>
        <w:rPr>
          <w:rFonts w:hint="eastAsia" w:ascii="仿宋" w:hAnsi="仿宋" w:eastAsia="仿宋" w:cs="仿宋"/>
          <w:sz w:val="24"/>
          <w:lang w:eastAsia="zh-CN"/>
        </w:rPr>
        <w:t>十八大三中全会以来我国税制结构优化的路径。</w:t>
      </w:r>
    </w:p>
    <w:p w14:paraId="0620ACEB">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2．党的二十大报告提出要</w:t>
      </w:r>
      <w:r>
        <w:rPr>
          <w:rFonts w:ascii="仿宋" w:hAnsi="仿宋" w:eastAsia="仿宋" w:cs="仿宋"/>
          <w:sz w:val="24"/>
        </w:rPr>
        <w:t>规范收入分配秩序，规范财富积累机制，保护合法收入，调节过高收入，取缔非法收入。</w:t>
      </w:r>
      <w:r>
        <w:rPr>
          <w:rFonts w:hint="eastAsia" w:ascii="仿宋" w:hAnsi="仿宋" w:eastAsia="仿宋" w:cs="仿宋"/>
          <w:sz w:val="24"/>
        </w:rPr>
        <w:t>结合其他国家经验，谈谈税收政策在初次分配、再分配、第三次分配中各自能够发挥哪些作用？</w:t>
      </w:r>
    </w:p>
    <w:p w14:paraId="3497191A">
      <w:pPr>
        <w:adjustRightInd w:val="0"/>
        <w:snapToGrid w:val="0"/>
        <w:rPr>
          <w:sz w:val="24"/>
        </w:rPr>
      </w:pPr>
    </w:p>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53FCB">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14:paraId="7B15DA13">
    <w:pPr>
      <w:pStyle w:val="6"/>
      <w:jc w:val="both"/>
    </w:pPr>
  </w:p>
  <w:p w14:paraId="7804DB7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10418">
    <w:pPr>
      <w:pStyle w:val="5"/>
      <w:framePr w:wrap="around" w:vAnchor="text" w:hAnchor="margin" w:xAlign="center" w:y="1"/>
      <w:rPr>
        <w:rStyle w:val="11"/>
      </w:rPr>
    </w:pPr>
    <w:r>
      <w:fldChar w:fldCharType="begin"/>
    </w:r>
    <w:r>
      <w:rPr>
        <w:rStyle w:val="11"/>
      </w:rPr>
      <w:instrText xml:space="preserve">PAGE  </w:instrText>
    </w:r>
    <w:r>
      <w:fldChar w:fldCharType="end"/>
    </w:r>
  </w:p>
  <w:p w14:paraId="7BB1C8D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88716">
    <w:pPr>
      <w:pStyle w:val="6"/>
      <w:rPr>
        <w:rFonts w:ascii="宋体" w:hAnsi="宋体"/>
        <w:b/>
        <w:color w:val="FF0000"/>
      </w:rPr>
    </w:pPr>
    <w:r>
      <w:rPr>
        <w:rFonts w:hint="eastAsia" w:ascii="宋体" w:hAnsi="宋体"/>
        <w:b/>
        <w:color w:val="FF0000"/>
      </w:rPr>
      <w:t>欢迎报考广东财经大学硕士研究生，祝你考试成功！（</w:t>
    </w:r>
    <w:r>
      <w:rPr>
        <w:rFonts w:hint="eastAsia" w:ascii="宋体" w:hAnsi="宋体"/>
        <w:b/>
        <w:color w:val="FF0000"/>
        <w:kern w:val="0"/>
        <w:szCs w:val="21"/>
      </w:rPr>
      <w:t xml:space="preserve">第 </w:t>
    </w:r>
    <w:r>
      <w:rPr>
        <w:rFonts w:ascii="宋体" w:hAnsi="宋体"/>
        <w:b/>
        <w:color w:val="FF0000"/>
        <w:kern w:val="0"/>
        <w:szCs w:val="21"/>
      </w:rPr>
      <w:fldChar w:fldCharType="begin"/>
    </w:r>
    <w:r>
      <w:rPr>
        <w:rFonts w:ascii="宋体" w:hAnsi="宋体"/>
        <w:b/>
        <w:color w:val="FF0000"/>
        <w:kern w:val="0"/>
        <w:szCs w:val="21"/>
      </w:rPr>
      <w:instrText xml:space="preserve"> PAGE </w:instrText>
    </w:r>
    <w:r>
      <w:rPr>
        <w:rFonts w:ascii="宋体" w:hAnsi="宋体"/>
        <w:b/>
        <w:color w:val="FF0000"/>
        <w:kern w:val="0"/>
        <w:szCs w:val="21"/>
      </w:rPr>
      <w:fldChar w:fldCharType="separate"/>
    </w:r>
    <w:r>
      <w:rPr>
        <w:rFonts w:ascii="宋体" w:hAnsi="宋体"/>
        <w:b/>
        <w:color w:val="FF0000"/>
        <w:kern w:val="0"/>
        <w:szCs w:val="21"/>
      </w:rPr>
      <w:t>4</w:t>
    </w:r>
    <w:r>
      <w:rPr>
        <w:rFonts w:ascii="宋体" w:hAnsi="宋体"/>
        <w:b/>
        <w:color w:val="FF0000"/>
        <w:kern w:val="0"/>
        <w:szCs w:val="21"/>
      </w:rPr>
      <w:fldChar w:fldCharType="end"/>
    </w:r>
    <w:r>
      <w:rPr>
        <w:rFonts w:hint="eastAsia" w:ascii="宋体" w:hAnsi="宋体"/>
        <w:b/>
        <w:color w:val="FF0000"/>
        <w:kern w:val="0"/>
        <w:szCs w:val="21"/>
      </w:rPr>
      <w:t xml:space="preserve"> 页 共 </w:t>
    </w:r>
    <w:r>
      <w:rPr>
        <w:rFonts w:ascii="宋体" w:hAnsi="宋体"/>
        <w:b/>
        <w:color w:val="FF0000"/>
        <w:kern w:val="0"/>
        <w:szCs w:val="21"/>
      </w:rPr>
      <w:fldChar w:fldCharType="begin"/>
    </w:r>
    <w:r>
      <w:rPr>
        <w:rFonts w:ascii="宋体" w:hAnsi="宋体"/>
        <w:b/>
        <w:color w:val="FF0000"/>
        <w:kern w:val="0"/>
        <w:szCs w:val="21"/>
      </w:rPr>
      <w:instrText xml:space="preserve"> NUMPAGES </w:instrText>
    </w:r>
    <w:r>
      <w:rPr>
        <w:rFonts w:ascii="宋体" w:hAnsi="宋体"/>
        <w:b/>
        <w:color w:val="FF0000"/>
        <w:kern w:val="0"/>
        <w:szCs w:val="21"/>
      </w:rPr>
      <w:fldChar w:fldCharType="separate"/>
    </w:r>
    <w:r>
      <w:rPr>
        <w:rFonts w:ascii="宋体" w:hAnsi="宋体"/>
        <w:b/>
        <w:color w:val="FF0000"/>
        <w:kern w:val="0"/>
        <w:szCs w:val="21"/>
      </w:rPr>
      <w:t>4</w:t>
    </w:r>
    <w:r>
      <w:rPr>
        <w:rFonts w:ascii="宋体" w:hAnsi="宋体"/>
        <w:b/>
        <w:color w:val="FF0000"/>
        <w:kern w:val="0"/>
        <w:szCs w:val="21"/>
      </w:rPr>
      <w:fldChar w:fldCharType="end"/>
    </w:r>
    <w:r>
      <w:rPr>
        <w:rFonts w:hint="eastAsia" w:ascii="宋体" w:hAnsi="宋体"/>
        <w:b/>
        <w:color w:val="FF0000"/>
        <w:kern w:val="0"/>
        <w:szCs w:val="21"/>
      </w:rPr>
      <w:t xml:space="preserve"> 页</w:t>
    </w:r>
    <w:r>
      <w:rPr>
        <w:rFonts w:hint="eastAsia" w:ascii="宋体" w:hAnsi="宋体"/>
        <w:b/>
        <w:color w:val="FF000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D2E3E"/>
    <w:multiLevelType w:val="singleLevel"/>
    <w:tmpl w:val="0A9D2E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hNzVlMmEwZDViNDM5YTM5YjgzM2Q4ZWQwNTg4YzgifQ=="/>
  </w:docVars>
  <w:rsids>
    <w:rsidRoot w:val="00172A27"/>
    <w:rsid w:val="00172A27"/>
    <w:rsid w:val="00273E96"/>
    <w:rsid w:val="0041553F"/>
    <w:rsid w:val="005F07E7"/>
    <w:rsid w:val="007C5BED"/>
    <w:rsid w:val="008C21DB"/>
    <w:rsid w:val="009A7C47"/>
    <w:rsid w:val="00B52997"/>
    <w:rsid w:val="00BF4B54"/>
    <w:rsid w:val="00CE067A"/>
    <w:rsid w:val="00EA31A7"/>
    <w:rsid w:val="041A1B08"/>
    <w:rsid w:val="0866198F"/>
    <w:rsid w:val="15582BD4"/>
    <w:rsid w:val="1EF41D5E"/>
    <w:rsid w:val="22D71793"/>
    <w:rsid w:val="440305EA"/>
    <w:rsid w:val="486E1A5D"/>
    <w:rsid w:val="48EA34D8"/>
    <w:rsid w:val="672A2ED8"/>
    <w:rsid w:val="723A6133"/>
    <w:rsid w:val="73A2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Plain Text"/>
    <w:basedOn w:val="1"/>
    <w:qFormat/>
    <w:uiPriority w:val="0"/>
    <w:rPr>
      <w:rFonts w:ascii="宋体" w:hAnsi="Courier New"/>
      <w:szCs w:val="2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customStyle="1" w:styleId="12">
    <w:name w:val="批注文字 字符"/>
    <w:link w:val="2"/>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1701</Words>
  <Characters>1771</Characters>
  <Lines>3</Lines>
  <Paragraphs>5</Paragraphs>
  <TotalTime>0</TotalTime>
  <ScaleCrop>false</ScaleCrop>
  <LinksUpToDate>false</LinksUpToDate>
  <CharactersWithSpaces>1785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2022-11-14T00:26:00Z</dcterms:created>
  <dc:creator>微软用户</dc:creator>
  <cp:lastModifiedBy>~ing</cp:lastModifiedBy>
  <cp:lastPrinted>2021-11-22T08:40:00Z</cp:lastPrinted>
  <dcterms:modified xsi:type="dcterms:W3CDTF">2025-04-24T08:17:29Z</dcterms:modified>
  <dc:title>广东商学院硕士研究生入学考试试卷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D300728988984F639B0254C7E3702C01_13</vt:lpwstr>
  </property>
  <property fmtid="{D5CDD505-2E9C-101B-9397-08002B2CF9AE}" pid="4" name="KSOTemplateDocerSaveRecord">
    <vt:lpwstr>eyJoZGlkIjoiMzlhMDAzMTNiM2NjMzJjMjdmNjM4N2FlZjkxNTE2OWEiLCJ1c2VySWQiOiI0OTQzNDM1MTAifQ==</vt:lpwstr>
  </property>
</Properties>
</file>