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2"/>
          <w:szCs w:val="32"/>
        </w:rPr>
      </w:pPr>
      <w:r>
        <w:rPr>
          <w:rFonts w:hint="eastAsia" w:ascii="黑体" w:eastAsia="黑体"/>
          <w:sz w:val="32"/>
          <w:szCs w:val="32"/>
        </w:rPr>
        <w:t>广东财经大学硕士研究生入学考试试卷</w:t>
      </w:r>
    </w:p>
    <w:p>
      <w:pPr>
        <w:adjustRightInd w:val="0"/>
        <w:snapToGrid w:val="0"/>
        <w:rPr>
          <w:rFonts w:ascii="仿宋_GB2312" w:eastAsia="仿宋_GB2312"/>
          <w:b/>
          <w:sz w:val="24"/>
        </w:rPr>
      </w:pPr>
      <w:r>
        <w:rPr>
          <w:rFonts w:hint="eastAsia" w:ascii="仿宋_GB2312" w:eastAsia="仿宋_GB2312"/>
          <w:b/>
          <w:sz w:val="24"/>
        </w:rPr>
        <w:t>考试年度：</w:t>
      </w:r>
      <w:r>
        <w:rPr>
          <w:rFonts w:hint="eastAsia" w:ascii="仿宋_GB2312" w:eastAsia="仿宋_GB2312"/>
          <w:sz w:val="24"/>
          <w:u w:val="single"/>
        </w:rPr>
        <w:t>202</w:t>
      </w:r>
      <w:r>
        <w:rPr>
          <w:rFonts w:hint="eastAsia" w:ascii="仿宋_GB2312" w:eastAsia="仿宋_GB2312"/>
          <w:sz w:val="24"/>
          <w:u w:val="single"/>
          <w:lang w:val="en-US" w:eastAsia="zh-CN"/>
        </w:rPr>
        <w:t>4</w:t>
      </w:r>
      <w:r>
        <w:rPr>
          <w:rFonts w:hint="eastAsia" w:ascii="仿宋_GB2312" w:eastAsia="仿宋_GB2312"/>
          <w:sz w:val="24"/>
          <w:u w:val="single"/>
        </w:rPr>
        <w:t>年</w:t>
      </w:r>
      <w:r>
        <w:rPr>
          <w:rFonts w:hint="eastAsia" w:ascii="仿宋_GB2312" w:eastAsia="仿宋_GB2312"/>
          <w:sz w:val="24"/>
        </w:rPr>
        <w:t xml:space="preserve">  　　　　</w:t>
      </w:r>
      <w:r>
        <w:rPr>
          <w:rFonts w:hint="eastAsia" w:ascii="仿宋_GB2312" w:eastAsia="仿宋_GB2312"/>
          <w:b/>
          <w:sz w:val="24"/>
        </w:rPr>
        <w:t>考试科目代码及名称：</w:t>
      </w:r>
      <w:r>
        <w:rPr>
          <w:rFonts w:hint="eastAsia" w:ascii="仿宋_GB2312" w:eastAsia="仿宋_GB2312"/>
          <w:sz w:val="24"/>
          <w:u w:val="single"/>
        </w:rPr>
        <w:t>433-税务专业基础</w:t>
      </w:r>
      <w:r>
        <w:rPr>
          <w:rFonts w:hint="eastAsia" w:ascii="仿宋_GB2312" w:hAnsi="仿宋" w:eastAsia="仿宋_GB2312"/>
          <w:sz w:val="24"/>
          <w:u w:val="single"/>
        </w:rPr>
        <w:t>(自命题)</w:t>
      </w:r>
      <w:r>
        <w:rPr>
          <w:rFonts w:hint="eastAsia" w:ascii="仿宋_GB2312" w:hAnsi="仿宋" w:eastAsia="仿宋_GB2312"/>
          <w:b/>
          <w:sz w:val="24"/>
        </w:rPr>
        <w:t xml:space="preserve"> </w:t>
      </w:r>
      <w:r>
        <w:rPr>
          <w:rFonts w:hint="eastAsia" w:ascii="仿宋_GB2312" w:eastAsia="仿宋_GB2312"/>
          <w:b/>
          <w:sz w:val="24"/>
        </w:rPr>
        <w:t xml:space="preserve">  </w:t>
      </w:r>
    </w:p>
    <w:p>
      <w:pPr>
        <w:adjustRightInd w:val="0"/>
        <w:snapToGrid w:val="0"/>
        <w:rPr>
          <w:rFonts w:ascii="仿宋_GB2312" w:eastAsia="仿宋_GB2312"/>
          <w:sz w:val="24"/>
          <w:u w:val="single"/>
        </w:rPr>
      </w:pPr>
      <w:r>
        <w:rPr>
          <w:rFonts w:hint="eastAsia" w:ascii="仿宋_GB2312" w:eastAsia="仿宋_GB2312"/>
          <w:b/>
          <w:sz w:val="24"/>
        </w:rPr>
        <w:t>适用专业：</w:t>
      </w:r>
      <w:r>
        <w:rPr>
          <w:rFonts w:hint="eastAsia" w:ascii="仿宋_GB2312" w:eastAsia="仿宋_GB2312"/>
          <w:sz w:val="24"/>
          <w:u w:val="single"/>
        </w:rPr>
        <w:t>025300 税务</w:t>
      </w:r>
    </w:p>
    <w:p>
      <w:pPr>
        <w:adjustRightInd w:val="0"/>
        <w:snapToGrid w:val="0"/>
        <w:rPr>
          <w:rFonts w:ascii="仿宋_GB2312" w:eastAsia="仿宋_GB2312"/>
          <w:sz w:val="24"/>
          <w:u w:val="single"/>
        </w:rPr>
      </w:pPr>
    </w:p>
    <w:p>
      <w:pPr>
        <w:widowControl/>
        <w:numPr>
          <w:ilvl w:val="0"/>
          <w:numId w:val="1"/>
        </w:numPr>
        <w:snapToGrid w:val="0"/>
        <w:spacing w:line="360" w:lineRule="auto"/>
        <w:rPr>
          <w:rFonts w:ascii="仿宋_GB2312" w:hAnsi="仿宋" w:eastAsia="仿宋_GB2312"/>
          <w:b/>
          <w:sz w:val="24"/>
        </w:rPr>
      </w:pPr>
      <w:r>
        <w:rPr>
          <w:rFonts w:hint="eastAsia" w:ascii="仿宋_GB2312" w:hAnsi="仿宋" w:eastAsia="仿宋_GB2312"/>
          <w:b/>
          <w:sz w:val="24"/>
        </w:rPr>
        <w:t>简答题（5题，每题10分，共50分）</w:t>
      </w:r>
    </w:p>
    <w:p>
      <w:pPr>
        <w:widowControl/>
        <w:snapToGrid w:val="0"/>
        <w:spacing w:line="360" w:lineRule="auto"/>
        <w:ind w:firstLine="480" w:firstLineChars="200"/>
        <w:rPr>
          <w:rFonts w:ascii="仿宋" w:hAnsi="仿宋" w:eastAsia="仿宋" w:cs="仿宋"/>
          <w:sz w:val="24"/>
        </w:rPr>
      </w:pPr>
      <w:r>
        <w:rPr>
          <w:rFonts w:hint="eastAsia" w:ascii="仿宋" w:hAnsi="仿宋" w:eastAsia="仿宋" w:cs="仿宋"/>
          <w:sz w:val="24"/>
        </w:rPr>
        <w:t>1．税收的特征有哪些？</w:t>
      </w:r>
    </w:p>
    <w:p>
      <w:pPr>
        <w:widowControl/>
        <w:snapToGrid w:val="0"/>
        <w:spacing w:line="360" w:lineRule="auto"/>
        <w:ind w:firstLine="480" w:firstLineChars="200"/>
        <w:rPr>
          <w:rFonts w:ascii="仿宋" w:hAnsi="仿宋" w:eastAsia="仿宋" w:cs="仿宋"/>
          <w:sz w:val="24"/>
        </w:rPr>
      </w:pPr>
      <w:r>
        <w:rPr>
          <w:rFonts w:hint="eastAsia" w:ascii="仿宋" w:hAnsi="仿宋" w:eastAsia="仿宋" w:cs="仿宋"/>
          <w:sz w:val="24"/>
        </w:rPr>
        <w:t>2．什么是价内税和价外税？有何区别？</w:t>
      </w:r>
    </w:p>
    <w:p>
      <w:pPr>
        <w:widowControl/>
        <w:snapToGrid w:val="0"/>
        <w:spacing w:line="360" w:lineRule="auto"/>
        <w:ind w:firstLine="480" w:firstLineChars="200"/>
        <w:rPr>
          <w:rFonts w:ascii="仿宋" w:hAnsi="仿宋" w:eastAsia="仿宋" w:cs="仿宋"/>
          <w:sz w:val="24"/>
        </w:rPr>
      </w:pPr>
      <w:r>
        <w:rPr>
          <w:rFonts w:hint="eastAsia" w:ascii="仿宋" w:hAnsi="仿宋" w:eastAsia="仿宋" w:cs="仿宋"/>
          <w:sz w:val="24"/>
        </w:rPr>
        <w:t>3．世界上有哪两类主要税制结构模式？简述其各自优缺点？</w:t>
      </w:r>
    </w:p>
    <w:p>
      <w:pPr>
        <w:widowControl/>
        <w:snapToGrid w:val="0"/>
        <w:spacing w:line="360" w:lineRule="auto"/>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．税负转嫁的方式有哪几种？简述其含义？</w:t>
      </w:r>
    </w:p>
    <w:p>
      <w:pPr>
        <w:widowControl/>
        <w:snapToGrid w:val="0"/>
        <w:spacing w:line="360" w:lineRule="auto"/>
        <w:ind w:firstLine="480" w:firstLineChars="200"/>
        <w:rPr>
          <w:rFonts w:ascii="仿宋" w:hAnsi="仿宋" w:eastAsia="仿宋" w:cs="仿宋"/>
          <w:sz w:val="24"/>
        </w:rPr>
      </w:pPr>
      <w:r>
        <w:rPr>
          <w:rFonts w:hint="eastAsia" w:ascii="仿宋" w:hAnsi="仿宋" w:eastAsia="仿宋" w:cs="仿宋"/>
          <w:sz w:val="24"/>
        </w:rPr>
        <w:t>5．简述税收管辖权的基本内容？</w:t>
      </w:r>
    </w:p>
    <w:p>
      <w:pPr>
        <w:widowControl/>
        <w:numPr>
          <w:ilvl w:val="0"/>
          <w:numId w:val="1"/>
        </w:numPr>
        <w:snapToGrid w:val="0"/>
        <w:spacing w:line="360" w:lineRule="auto"/>
        <w:rPr>
          <w:rFonts w:ascii="仿宋_GB2312" w:hAnsi="仿宋" w:eastAsia="仿宋_GB2312"/>
          <w:b/>
          <w:sz w:val="24"/>
        </w:rPr>
      </w:pPr>
      <w:r>
        <w:rPr>
          <w:rFonts w:hint="eastAsia" w:ascii="仿宋_GB2312" w:hAnsi="仿宋" w:eastAsia="仿宋_GB2312"/>
          <w:b/>
          <w:sz w:val="24"/>
        </w:rPr>
        <w:t>材料分析题（5题，每题10分，共50分）</w:t>
      </w:r>
    </w:p>
    <w:p>
      <w:pPr>
        <w:widowControl/>
        <w:snapToGrid w:val="0"/>
        <w:spacing w:line="360" w:lineRule="auto"/>
        <w:ind w:firstLine="480" w:firstLineChars="200"/>
        <w:rPr>
          <w:rFonts w:ascii="仿宋" w:hAnsi="仿宋" w:eastAsia="仿宋" w:cs="仿宋"/>
          <w:sz w:val="24"/>
        </w:rPr>
      </w:pPr>
      <w:r>
        <w:rPr>
          <w:rFonts w:hint="eastAsia" w:ascii="仿宋" w:hAnsi="仿宋" w:eastAsia="仿宋" w:cs="仿宋"/>
          <w:sz w:val="24"/>
        </w:rPr>
        <w:t>1．党的二十大报告提出，“加快发展方式绿色转型。推动经济社会发展绿色化、低碳化是实现高质量发展的关键环节。加快推动产业结构、能源结构、交通运输结构等调整优化。实施全面节约战略，推进各类资源节约集约利用，加快构建废弃物循环利用体系。完善支持绿色发展的财税、金融、投资、价格政策和标准体系，发展绿色低碳产业，健全资源环境要素市场化配置体系，加快节能降碳先进技术研发和推广应用，倡导绿色消费，推动形成绿色低碳的生产方式和生活方式。”</w:t>
      </w:r>
    </w:p>
    <w:p>
      <w:pPr>
        <w:widowControl/>
        <w:ind w:firstLine="480" w:firstLineChars="200"/>
        <w:jc w:val="left"/>
        <w:rPr>
          <w:rFonts w:ascii="仿宋" w:hAnsi="仿宋" w:eastAsia="仿宋" w:cs="仿宋"/>
          <w:sz w:val="24"/>
        </w:rPr>
      </w:pPr>
      <w:r>
        <w:rPr>
          <w:rFonts w:hint="eastAsia" w:ascii="仿宋" w:hAnsi="仿宋" w:eastAsia="仿宋" w:cs="仿宋"/>
          <w:sz w:val="24"/>
        </w:rPr>
        <w:t>请结合所学知识，从环境保护税、资源税和绿色税收优惠政策三个角度谈一谈如何更好的加快发展方式绿色转型。</w:t>
      </w:r>
    </w:p>
    <w:p>
      <w:pPr>
        <w:widowControl/>
        <w:snapToGrid w:val="0"/>
        <w:spacing w:line="360" w:lineRule="auto"/>
        <w:ind w:firstLine="480" w:firstLineChars="200"/>
        <w:rPr>
          <w:rFonts w:ascii="仿宋" w:hAnsi="仿宋" w:eastAsia="仿宋" w:cs="仿宋"/>
          <w:sz w:val="24"/>
        </w:rPr>
      </w:pPr>
      <w:r>
        <w:rPr>
          <w:rFonts w:hint="eastAsia" w:ascii="仿宋" w:hAnsi="仿宋" w:eastAsia="仿宋" w:cs="仿宋"/>
          <w:sz w:val="24"/>
        </w:rPr>
        <w:t>2.2023年《政府工作报告》提出，通过市场化机制激励企业创新，不断提高企业研发费用加计扣除比例，将制造业企业、科技型中小企业分别从50%、75%提高至100%，并阶段性扩大到所有适用行业。</w:t>
      </w:r>
    </w:p>
    <w:p>
      <w:pPr>
        <w:widowControl/>
        <w:snapToGrid w:val="0"/>
        <w:spacing w:line="360" w:lineRule="auto"/>
        <w:ind w:firstLine="480" w:firstLineChars="200"/>
        <w:rPr>
          <w:rFonts w:ascii="仿宋" w:hAnsi="仿宋" w:eastAsia="仿宋" w:cs="仿宋"/>
          <w:sz w:val="24"/>
        </w:rPr>
      </w:pPr>
      <w:r>
        <w:rPr>
          <w:rFonts w:hint="eastAsia" w:ascii="仿宋" w:hAnsi="仿宋" w:eastAsia="仿宋" w:cs="仿宋"/>
          <w:sz w:val="24"/>
        </w:rPr>
        <w:t>请问什么是研发费用加计扣除政策？其属于税额式优惠还是税基式优惠？其在支持企业发展中一般发挥了何种作用？</w:t>
      </w:r>
    </w:p>
    <w:p>
      <w:pPr>
        <w:widowControl/>
        <w:snapToGrid w:val="0"/>
        <w:spacing w:line="360" w:lineRule="auto"/>
        <w:ind w:firstLine="480" w:firstLineChars="200"/>
        <w:rPr>
          <w:rFonts w:ascii="仿宋" w:hAnsi="仿宋" w:eastAsia="仿宋" w:cs="仿宋"/>
          <w:sz w:val="24"/>
        </w:rPr>
      </w:pPr>
      <w:r>
        <w:rPr>
          <w:rFonts w:hint="eastAsia" w:ascii="仿宋" w:hAnsi="仿宋" w:eastAsia="仿宋" w:cs="仿宋"/>
          <w:sz w:val="24"/>
        </w:rPr>
        <w:t>3.2023年7月中共中央政治局召开会议强调：要积极扩大国内需求，发挥消费拉动经济增长的基础性作用，通过增加居民收入扩大消费，通过终端需求带动有效供给，把实施扩大内需战略同深化供给侧结构性改革有机结合起来。</w:t>
      </w:r>
    </w:p>
    <w:p>
      <w:pPr>
        <w:widowControl/>
        <w:snapToGrid w:val="0"/>
        <w:spacing w:line="360" w:lineRule="auto"/>
        <w:ind w:firstLine="480" w:firstLineChars="200"/>
        <w:rPr>
          <w:rFonts w:ascii="仿宋" w:hAnsi="仿宋" w:eastAsia="仿宋" w:cs="仿宋"/>
          <w:sz w:val="24"/>
        </w:rPr>
      </w:pPr>
      <w:r>
        <w:rPr>
          <w:rFonts w:hint="eastAsia" w:ascii="仿宋" w:hAnsi="仿宋" w:eastAsia="仿宋" w:cs="仿宋"/>
          <w:sz w:val="24"/>
        </w:rPr>
        <w:t>请结合税收的调节作用，分析税收如何在收入端（个人所得税）和生产端（增值税和消费税）积极扩大国内需求？</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w:t>
      </w:r>
      <w:r>
        <w:rPr>
          <w:rFonts w:ascii="仿宋" w:hAnsi="仿宋" w:eastAsia="仿宋" w:cs="仿宋"/>
          <w:sz w:val="24"/>
        </w:rPr>
        <w:t>.</w:t>
      </w:r>
      <w:r>
        <w:rPr>
          <w:rFonts w:hint="eastAsia" w:ascii="仿宋" w:hAnsi="仿宋" w:eastAsia="仿宋" w:cs="仿宋"/>
          <w:sz w:val="24"/>
        </w:rPr>
        <w:t>中共中央办公厅、国务院办公厅印发的《关于进一步深化税收征管改革的意见》提出，建立健全以“信用+风险”为基础的新型监管机制。健全守信激励和失信惩戒制度，充分发挥纳税信用在社会信用体系中的基础性作用。建立健全纳税缴费信用评价制度，对纳税缴费信用高的市场主体给予更多便利。在全面推行实名办税缴费制度基础上，实行纳税人缴费人动态信用等级分类和智能化风险监管，既以最严格的标准防范逃避税，又避免影响企业正常生产经营。健全以“数据集成+优质服务+提醒纠错+依法查处”为主要内容的自然人税费服务与监管体系。依法加强对高收入高净值人员的税费服务与监管。</w:t>
      </w:r>
    </w:p>
    <w:p>
      <w:pPr>
        <w:widowControl/>
        <w:snapToGrid w:val="0"/>
        <w:spacing w:line="360" w:lineRule="auto"/>
        <w:ind w:firstLine="480" w:firstLineChars="200"/>
        <w:rPr>
          <w:rFonts w:ascii="仿宋" w:hAnsi="仿宋" w:eastAsia="仿宋" w:cs="仿宋"/>
          <w:sz w:val="24"/>
        </w:rPr>
      </w:pPr>
      <w:r>
        <w:rPr>
          <w:rFonts w:hint="eastAsia" w:ascii="仿宋" w:hAnsi="仿宋" w:eastAsia="仿宋" w:cs="仿宋"/>
          <w:sz w:val="24"/>
        </w:rPr>
        <w:t>结合所学知识，谈一谈加强纳税信用管理的主要作用和意义。</w:t>
      </w:r>
    </w:p>
    <w:p>
      <w:pPr>
        <w:widowControl/>
        <w:snapToGrid w:val="0"/>
        <w:spacing w:line="360" w:lineRule="auto"/>
        <w:ind w:firstLine="480" w:firstLineChars="200"/>
        <w:rPr>
          <w:rFonts w:ascii="仿宋" w:hAnsi="仿宋" w:eastAsia="仿宋" w:cs="仿宋"/>
          <w:sz w:val="24"/>
        </w:rPr>
      </w:pPr>
      <w:r>
        <w:rPr>
          <w:rFonts w:hint="eastAsia" w:ascii="仿宋" w:hAnsi="仿宋" w:eastAsia="仿宋" w:cs="仿宋"/>
          <w:sz w:val="24"/>
        </w:rPr>
        <w:t>5.作为全球最大的科技公司之一，苹果的财务策略一直备受关注。他们是如何在全球范围内进行复杂的且巧妙的税务操作，从而避免缴纳数千亿美元的税款呢？</w:t>
      </w:r>
      <w:r>
        <w:rPr>
          <w:rFonts w:ascii="仿宋" w:hAnsi="仿宋" w:eastAsia="仿宋" w:cs="仿宋"/>
          <w:sz w:val="24"/>
        </w:rPr>
        <w:t>首先，苹果通过在其海外子公司之间反复转移利润，利用税收政策的不同，成功地减少了公司需要缴纳的税款。这些策略包括将专利权转让给低税率的国家或地区，以及将研发和销售业务转移至海外。其次，苹果还利用了一个名为“Double Irish”的税收策略，通过两个爱尔兰子公司来转移利润，从而避免在美国和其他高税收国家纳税。虽然这些策略在法律上是合法的和合规的，但它们引发了关于跨国公司利用税收规则避税的道德和公平性问题。</w:t>
      </w:r>
      <w:r>
        <w:rPr>
          <w:rFonts w:ascii="仿宋" w:hAnsi="仿宋" w:eastAsia="仿宋" w:cs="仿宋"/>
          <w:sz w:val="24"/>
        </w:rPr>
        <w:br w:type="textWrapping"/>
      </w:r>
      <w:r>
        <w:rPr>
          <w:rFonts w:hint="eastAsia" w:ascii="仿宋" w:hAnsi="仿宋" w:eastAsia="仿宋" w:cs="仿宋"/>
          <w:sz w:val="24"/>
        </w:rPr>
        <w:t xml:space="preserve">   请结合所学知识，谈一谈国际反避税有哪些主要方法。</w:t>
      </w:r>
    </w:p>
    <w:p>
      <w:pPr>
        <w:pStyle w:val="2"/>
        <w:rPr>
          <w:rFonts w:ascii="仿宋_GB2312" w:hAnsi="仿宋" w:eastAsia="仿宋_GB2312"/>
          <w:b/>
          <w:sz w:val="24"/>
        </w:rPr>
      </w:pPr>
      <w:r>
        <w:rPr>
          <w:rFonts w:hint="eastAsia" w:ascii="仿宋_GB2312" w:hAnsi="仿宋" w:eastAsia="仿宋_GB2312"/>
          <w:b/>
          <w:sz w:val="24"/>
        </w:rPr>
        <w:t>三、计算题（2题，每题10分，共20分）</w:t>
      </w:r>
    </w:p>
    <w:p>
      <w:pPr>
        <w:widowControl/>
        <w:snapToGrid w:val="0"/>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w:t>
      </w:r>
      <w:r>
        <w:rPr>
          <w:rFonts w:hint="eastAsia" w:ascii="仿宋" w:hAnsi="仿宋" w:eastAsia="仿宋" w:cs="仿宋"/>
          <w:sz w:val="24"/>
        </w:rPr>
        <w:t>某公司6月进口高级品牌女包一批，买价70万元，</w:t>
      </w:r>
    </w:p>
    <w:p>
      <w:pPr>
        <w:widowControl/>
        <w:snapToGrid w:val="0"/>
        <w:spacing w:line="360" w:lineRule="auto"/>
        <w:ind w:firstLine="240" w:firstLineChars="100"/>
        <w:rPr>
          <w:rFonts w:ascii="仿宋" w:hAnsi="仿宋" w:eastAsia="仿宋" w:cs="仿宋"/>
          <w:sz w:val="24"/>
        </w:rPr>
      </w:pPr>
      <w:r>
        <w:rPr>
          <w:rFonts w:hint="eastAsia" w:ascii="仿宋" w:hAnsi="仿宋" w:eastAsia="仿宋" w:cs="仿宋"/>
          <w:sz w:val="24"/>
        </w:rPr>
        <w:t>（1）运抵境内第一口岸支付运费、保险费等5万元；</w:t>
      </w:r>
    </w:p>
    <w:p>
      <w:pPr>
        <w:widowControl/>
        <w:snapToGrid w:val="0"/>
        <w:spacing w:line="360" w:lineRule="auto"/>
        <w:ind w:firstLine="240" w:firstLineChars="100"/>
        <w:rPr>
          <w:rFonts w:ascii="仿宋" w:hAnsi="仿宋" w:eastAsia="仿宋" w:cs="仿宋"/>
          <w:sz w:val="24"/>
        </w:rPr>
      </w:pPr>
      <w:r>
        <w:rPr>
          <w:rFonts w:hint="eastAsia" w:ascii="仿宋" w:hAnsi="仿宋" w:eastAsia="仿宋" w:cs="仿宋"/>
          <w:sz w:val="24"/>
        </w:rPr>
        <w:t>（2）关税税率40%；</w:t>
      </w:r>
    </w:p>
    <w:p>
      <w:pPr>
        <w:widowControl/>
        <w:snapToGrid w:val="0"/>
        <w:spacing w:line="360" w:lineRule="auto"/>
        <w:ind w:firstLine="240" w:firstLineChars="100"/>
        <w:rPr>
          <w:rFonts w:ascii="仿宋" w:hAnsi="仿宋" w:eastAsia="仿宋" w:cs="仿宋"/>
          <w:sz w:val="24"/>
        </w:rPr>
      </w:pPr>
      <w:r>
        <w:rPr>
          <w:rFonts w:hint="eastAsia" w:ascii="仿宋" w:hAnsi="仿宋" w:eastAsia="仿宋" w:cs="仿宋"/>
          <w:sz w:val="24"/>
        </w:rPr>
        <w:t>（3）消费税税率20%；</w:t>
      </w:r>
    </w:p>
    <w:p>
      <w:pPr>
        <w:widowControl/>
        <w:snapToGrid w:val="0"/>
        <w:spacing w:line="360" w:lineRule="auto"/>
        <w:ind w:firstLine="240" w:firstLineChars="100"/>
        <w:rPr>
          <w:rFonts w:ascii="仿宋" w:hAnsi="仿宋" w:eastAsia="仿宋" w:cs="仿宋"/>
          <w:sz w:val="24"/>
        </w:rPr>
      </w:pPr>
      <w:r>
        <w:rPr>
          <w:rFonts w:hint="eastAsia" w:ascii="仿宋" w:hAnsi="仿宋" w:eastAsia="仿宋" w:cs="仿宋"/>
          <w:sz w:val="24"/>
        </w:rPr>
        <w:t>要求：根据上述资料，计算该批化妆品进口环节应纳增值税数额（增值税税率按13%计算，保留小数点后两位）。</w:t>
      </w:r>
    </w:p>
    <w:p>
      <w:pPr>
        <w:widowControl/>
        <w:snapToGrid w:val="0"/>
        <w:spacing w:line="360" w:lineRule="auto"/>
        <w:ind w:firstLine="240" w:firstLineChars="1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某企业2019年度取得主营业务收入2,100万元，</w:t>
      </w:r>
    </w:p>
    <w:p>
      <w:pPr>
        <w:widowControl/>
        <w:snapToGrid w:val="0"/>
        <w:spacing w:line="360" w:lineRule="auto"/>
        <w:ind w:firstLine="240" w:firstLineChars="100"/>
        <w:rPr>
          <w:rFonts w:ascii="仿宋" w:hAnsi="仿宋" w:eastAsia="仿宋" w:cs="仿宋"/>
          <w:sz w:val="24"/>
        </w:rPr>
      </w:pPr>
      <w:r>
        <w:rPr>
          <w:rFonts w:hint="eastAsia" w:ascii="仿宋" w:hAnsi="仿宋" w:eastAsia="仿宋" w:cs="仿宋"/>
          <w:sz w:val="24"/>
        </w:rPr>
        <w:t>（1）其他业务收入300万元，</w:t>
      </w:r>
    </w:p>
    <w:p>
      <w:pPr>
        <w:widowControl/>
        <w:snapToGrid w:val="0"/>
        <w:spacing w:line="360" w:lineRule="auto"/>
        <w:ind w:firstLine="240" w:firstLineChars="100"/>
        <w:rPr>
          <w:rFonts w:ascii="仿宋" w:hAnsi="仿宋" w:eastAsia="仿宋" w:cs="仿宋"/>
          <w:sz w:val="24"/>
        </w:rPr>
      </w:pPr>
      <w:r>
        <w:rPr>
          <w:rFonts w:hint="eastAsia" w:ascii="仿宋" w:hAnsi="仿宋" w:eastAsia="仿宋" w:cs="仿宋"/>
          <w:sz w:val="24"/>
        </w:rPr>
        <w:t>（2）投资收益200万元，营业外收入15万元，</w:t>
      </w:r>
    </w:p>
    <w:p>
      <w:pPr>
        <w:widowControl/>
        <w:snapToGrid w:val="0"/>
        <w:spacing w:line="360" w:lineRule="auto"/>
        <w:ind w:firstLine="240" w:firstLineChars="100"/>
        <w:rPr>
          <w:rFonts w:ascii="仿宋" w:hAnsi="仿宋" w:eastAsia="仿宋" w:cs="仿宋"/>
          <w:sz w:val="24"/>
        </w:rPr>
      </w:pPr>
      <w:r>
        <w:rPr>
          <w:rFonts w:hint="eastAsia" w:ascii="仿宋" w:hAnsi="仿宋" w:eastAsia="仿宋" w:cs="仿宋"/>
          <w:sz w:val="24"/>
        </w:rPr>
        <w:t>（3）假定企业该年度实际发生的业务招待费分别为17万元和25万元。</w:t>
      </w:r>
    </w:p>
    <w:p>
      <w:pPr>
        <w:widowControl/>
        <w:snapToGrid w:val="0"/>
        <w:spacing w:line="360" w:lineRule="auto"/>
        <w:ind w:firstLine="240" w:firstLineChars="100"/>
        <w:rPr>
          <w:rFonts w:ascii="仿宋" w:hAnsi="仿宋" w:eastAsia="仿宋" w:cs="仿宋"/>
          <w:sz w:val="24"/>
        </w:rPr>
      </w:pPr>
      <w:r>
        <w:rPr>
          <w:rFonts w:hint="eastAsia" w:ascii="仿宋" w:hAnsi="仿宋" w:eastAsia="仿宋" w:cs="仿宋"/>
          <w:sz w:val="24"/>
        </w:rPr>
        <w:t>要求：根据上述资料，分别计算可以在税前扣除和不得扣除的业务招待费金额。</w:t>
      </w:r>
    </w:p>
    <w:p>
      <w:pPr>
        <w:widowControl/>
        <w:snapToGrid w:val="0"/>
        <w:spacing w:line="360" w:lineRule="auto"/>
        <w:rPr>
          <w:rFonts w:ascii="仿宋_GB2312" w:hAnsi="仿宋" w:eastAsia="仿宋_GB2312"/>
          <w:b/>
          <w:sz w:val="24"/>
        </w:rPr>
      </w:pPr>
      <w:r>
        <w:rPr>
          <w:rFonts w:hint="eastAsia" w:ascii="仿宋_GB2312" w:hAnsi="仿宋" w:eastAsia="仿宋_GB2312"/>
          <w:b/>
          <w:sz w:val="24"/>
        </w:rPr>
        <w:t>四、论述题（2题，每题15分，共30分）</w:t>
      </w:r>
    </w:p>
    <w:p>
      <w:pPr>
        <w:widowControl/>
        <w:snapToGrid w:val="0"/>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eastAsia="zh-CN"/>
        </w:rPr>
        <w:t>请你阐述分析中共十八大三中全会以来我国税制结构优化的路径。</w:t>
      </w:r>
      <w:bookmarkStart w:id="0" w:name="_GoBack"/>
      <w:bookmarkEnd w:id="0"/>
    </w:p>
    <w:p>
      <w:pPr>
        <w:widowControl/>
        <w:snapToGrid w:val="0"/>
        <w:spacing w:line="360" w:lineRule="auto"/>
        <w:ind w:firstLine="480" w:firstLineChars="200"/>
        <w:rPr>
          <w:rFonts w:ascii="仿宋" w:hAnsi="仿宋" w:eastAsia="仿宋" w:cs="仿宋"/>
          <w:sz w:val="24"/>
        </w:rPr>
      </w:pPr>
      <w:r>
        <w:rPr>
          <w:rFonts w:hint="eastAsia" w:ascii="仿宋" w:hAnsi="仿宋" w:eastAsia="仿宋" w:cs="仿宋"/>
          <w:sz w:val="24"/>
        </w:rPr>
        <w:t>2．党的二十大报告提出要</w:t>
      </w:r>
      <w:r>
        <w:rPr>
          <w:rFonts w:ascii="仿宋" w:hAnsi="仿宋" w:eastAsia="仿宋" w:cs="仿宋"/>
          <w:sz w:val="24"/>
        </w:rPr>
        <w:t>规范收入分配秩序，规范财富积累机制，保护合法收入，调节过高收入，取缔非法收入。</w:t>
      </w:r>
      <w:r>
        <w:rPr>
          <w:rFonts w:hint="eastAsia" w:ascii="仿宋" w:hAnsi="仿宋" w:eastAsia="仿宋" w:cs="仿宋"/>
          <w:sz w:val="24"/>
        </w:rPr>
        <w:t>结合其他国家经验，谈谈税收政策在初次分配、再分配、第三次分配中各自能够发挥哪些作用？</w:t>
      </w:r>
    </w:p>
    <w:p>
      <w:pPr>
        <w:adjustRightInd w:val="0"/>
        <w:snapToGrid w:val="0"/>
        <w:rPr>
          <w:sz w:val="24"/>
        </w:rPr>
      </w:pPr>
    </w:p>
    <w:sectPr>
      <w:headerReference r:id="rId3" w:type="default"/>
      <w:footerReference r:id="rId4" w:type="default"/>
      <w:footerReference r:id="rId5" w:type="even"/>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4</w:t>
    </w:r>
    <w:r>
      <w:fldChar w:fldCharType="end"/>
    </w:r>
  </w:p>
  <w:p>
    <w:pPr>
      <w:pStyle w:val="6"/>
      <w:jc w:val="both"/>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b/>
        <w:color w:val="FF0000"/>
      </w:rPr>
    </w:pPr>
    <w:r>
      <w:rPr>
        <w:rFonts w:hint="eastAsia" w:ascii="宋体" w:hAnsi="宋体"/>
        <w:b/>
        <w:color w:val="FF0000"/>
      </w:rPr>
      <w:t>欢迎报考广东财经大学硕士研究生，祝你考试成功！（</w:t>
    </w:r>
    <w:r>
      <w:rPr>
        <w:rFonts w:hint="eastAsia" w:ascii="宋体" w:hAnsi="宋体"/>
        <w:b/>
        <w:color w:val="FF0000"/>
        <w:kern w:val="0"/>
        <w:szCs w:val="21"/>
      </w:rPr>
      <w:t xml:space="preserve">第 </w:t>
    </w:r>
    <w:r>
      <w:rPr>
        <w:rFonts w:ascii="宋体" w:hAnsi="宋体"/>
        <w:b/>
        <w:color w:val="FF0000"/>
        <w:kern w:val="0"/>
        <w:szCs w:val="21"/>
      </w:rPr>
      <w:fldChar w:fldCharType="begin"/>
    </w:r>
    <w:r>
      <w:rPr>
        <w:rFonts w:ascii="宋体" w:hAnsi="宋体"/>
        <w:b/>
        <w:color w:val="FF0000"/>
        <w:kern w:val="0"/>
        <w:szCs w:val="21"/>
      </w:rPr>
      <w:instrText xml:space="preserve"> PAGE </w:instrText>
    </w:r>
    <w:r>
      <w:rPr>
        <w:rFonts w:ascii="宋体" w:hAnsi="宋体"/>
        <w:b/>
        <w:color w:val="FF0000"/>
        <w:kern w:val="0"/>
        <w:szCs w:val="21"/>
      </w:rPr>
      <w:fldChar w:fldCharType="separate"/>
    </w:r>
    <w:r>
      <w:rPr>
        <w:rFonts w:ascii="宋体" w:hAnsi="宋体"/>
        <w:b/>
        <w:color w:val="FF0000"/>
        <w:kern w:val="0"/>
        <w:szCs w:val="21"/>
      </w:rPr>
      <w:t>4</w:t>
    </w:r>
    <w:r>
      <w:rPr>
        <w:rFonts w:ascii="宋体" w:hAnsi="宋体"/>
        <w:b/>
        <w:color w:val="FF0000"/>
        <w:kern w:val="0"/>
        <w:szCs w:val="21"/>
      </w:rPr>
      <w:fldChar w:fldCharType="end"/>
    </w:r>
    <w:r>
      <w:rPr>
        <w:rFonts w:hint="eastAsia" w:ascii="宋体" w:hAnsi="宋体"/>
        <w:b/>
        <w:color w:val="FF0000"/>
        <w:kern w:val="0"/>
        <w:szCs w:val="21"/>
      </w:rPr>
      <w:t xml:space="preserve"> 页 共 </w:t>
    </w:r>
    <w:r>
      <w:rPr>
        <w:rFonts w:ascii="宋体" w:hAnsi="宋体"/>
        <w:b/>
        <w:color w:val="FF0000"/>
        <w:kern w:val="0"/>
        <w:szCs w:val="21"/>
      </w:rPr>
      <w:fldChar w:fldCharType="begin"/>
    </w:r>
    <w:r>
      <w:rPr>
        <w:rFonts w:ascii="宋体" w:hAnsi="宋体"/>
        <w:b/>
        <w:color w:val="FF0000"/>
        <w:kern w:val="0"/>
        <w:szCs w:val="21"/>
      </w:rPr>
      <w:instrText xml:space="preserve"> NUMPAGES </w:instrText>
    </w:r>
    <w:r>
      <w:rPr>
        <w:rFonts w:ascii="宋体" w:hAnsi="宋体"/>
        <w:b/>
        <w:color w:val="FF0000"/>
        <w:kern w:val="0"/>
        <w:szCs w:val="21"/>
      </w:rPr>
      <w:fldChar w:fldCharType="separate"/>
    </w:r>
    <w:r>
      <w:rPr>
        <w:rFonts w:ascii="宋体" w:hAnsi="宋体"/>
        <w:b/>
        <w:color w:val="FF0000"/>
        <w:kern w:val="0"/>
        <w:szCs w:val="21"/>
      </w:rPr>
      <w:t>4</w:t>
    </w:r>
    <w:r>
      <w:rPr>
        <w:rFonts w:ascii="宋体" w:hAnsi="宋体"/>
        <w:b/>
        <w:color w:val="FF0000"/>
        <w:kern w:val="0"/>
        <w:szCs w:val="21"/>
      </w:rPr>
      <w:fldChar w:fldCharType="end"/>
    </w:r>
    <w:r>
      <w:rPr>
        <w:rFonts w:hint="eastAsia" w:ascii="宋体" w:hAnsi="宋体"/>
        <w:b/>
        <w:color w:val="FF0000"/>
        <w:kern w:val="0"/>
        <w:szCs w:val="21"/>
      </w:rPr>
      <w:t xml:space="preserve"> 页</w:t>
    </w:r>
    <w:r>
      <w:rPr>
        <w:rFonts w:hint="eastAsia" w:ascii="宋体" w:hAnsi="宋体"/>
        <w:b/>
        <w:color w:val="FF000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D2E3E"/>
    <w:multiLevelType w:val="singleLevel"/>
    <w:tmpl w:val="0A9D2E3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hNzVlMmEwZDViNDM5YTM5YjgzM2Q4ZWQwNTg4YzgifQ=="/>
  </w:docVars>
  <w:rsids>
    <w:rsidRoot w:val="00172A27"/>
    <w:rsid w:val="00172A27"/>
    <w:rsid w:val="00273E96"/>
    <w:rsid w:val="0041553F"/>
    <w:rsid w:val="005F07E7"/>
    <w:rsid w:val="007C5BED"/>
    <w:rsid w:val="008C21DB"/>
    <w:rsid w:val="009A7C47"/>
    <w:rsid w:val="00B52997"/>
    <w:rsid w:val="00BF4B54"/>
    <w:rsid w:val="00CE067A"/>
    <w:rsid w:val="00EA31A7"/>
    <w:rsid w:val="041A1B08"/>
    <w:rsid w:val="0866198F"/>
    <w:rsid w:val="15582BD4"/>
    <w:rsid w:val="1EF41D5E"/>
    <w:rsid w:val="22D71793"/>
    <w:rsid w:val="440305EA"/>
    <w:rsid w:val="486E1A5D"/>
    <w:rsid w:val="48EA34D8"/>
    <w:rsid w:val="672A2ED8"/>
    <w:rsid w:val="73A26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Plain Text"/>
    <w:basedOn w:val="1"/>
    <w:qFormat/>
    <w:uiPriority w:val="0"/>
    <w:rPr>
      <w:rFonts w:ascii="宋体" w:hAnsi="Courier New"/>
      <w:szCs w:val="20"/>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qFormat/>
    <w:uiPriority w:val="0"/>
    <w:rPr>
      <w:b/>
      <w:bCs/>
    </w:rPr>
  </w:style>
  <w:style w:type="character" w:styleId="10">
    <w:name w:val="page number"/>
    <w:basedOn w:val="8"/>
    <w:qFormat/>
    <w:uiPriority w:val="0"/>
  </w:style>
  <w:style w:type="character" w:customStyle="1" w:styleId="12">
    <w:name w:val="批注文字 字符"/>
    <w:link w:val="2"/>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2253</Words>
  <Characters>463</Characters>
  <Lines>3</Lines>
  <Paragraphs>5</Paragraphs>
  <ScaleCrop>false</ScaleCrop>
  <LinksUpToDate>false</LinksUpToDate>
  <CharactersWithSpaces>2711</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2022-11-14T00:26:00Z</dcterms:created>
  <dc:creator>微软用户</dc:creator>
  <cp:lastModifiedBy>001</cp:lastModifiedBy>
  <cp:lastPrinted>2021-11-22T08:40:00Z</cp:lastPrinted>
  <dcterms:modified xsi:type="dcterms:W3CDTF">2023-11-20T07:32:28Z</dcterms:modified>
  <dc:title>广东商学院硕士研究生入学考试试卷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y fmtid="{D5CDD505-2E9C-101B-9397-08002B2CF9AE}" pid="3" name="ICV">
    <vt:lpwstr>67C3C5DE82434BCFA3E51688F63815B5</vt:lpwstr>
  </property>
</Properties>
</file>