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6947B">
      <w:pPr>
        <w:adjustRightInd w:val="0"/>
        <w:snapToGrid w:val="0"/>
        <w:jc w:val="center"/>
        <w:rPr>
          <w:rFonts w:hint="eastAsia" w:ascii="黑体" w:hAnsi="黑体" w:eastAsia="黑体" w:cs="黑体"/>
          <w:bCs/>
          <w:color w:val="000000"/>
          <w:sz w:val="36"/>
          <w:szCs w:val="36"/>
        </w:rPr>
      </w:pPr>
      <w:bookmarkStart w:id="0" w:name="_GoBack"/>
      <w:bookmarkEnd w:id="0"/>
      <w:r>
        <w:rPr>
          <w:rFonts w:hint="eastAsia" w:ascii="黑体" w:hAnsi="黑体" w:eastAsia="黑体" w:cs="黑体"/>
          <w:bCs/>
          <w:color w:val="000000"/>
          <w:sz w:val="36"/>
          <w:szCs w:val="36"/>
        </w:rPr>
        <w:t>统计学027000</w:t>
      </w:r>
    </w:p>
    <w:p w14:paraId="37528FA0">
      <w:pPr>
        <w:adjustRightInd w:val="0"/>
        <w:snapToGrid w:val="0"/>
        <w:jc w:val="center"/>
        <w:rPr>
          <w:rFonts w:hint="eastAsia" w:asciiTheme="minorEastAsia" w:hAnsiTheme="minorEastAsia" w:eastAsiaTheme="minorEastAsia" w:cstheme="minorEastAsia"/>
          <w:color w:val="000000"/>
          <w:sz w:val="24"/>
          <w:szCs w:val="24"/>
        </w:rPr>
      </w:pPr>
    </w:p>
    <w:p w14:paraId="2E6FC113">
      <w:pPr>
        <w:widowControl/>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学科点简介：</w:t>
      </w:r>
      <w:r>
        <w:rPr>
          <w:rFonts w:ascii="宋体" w:hAnsi="宋体" w:cs="宋体"/>
          <w:color w:val="0D0D0D" w:themeColor="text1" w:themeTint="F2"/>
          <w:sz w:val="24"/>
          <w14:textFill>
            <w14:solidFill>
              <w14:schemeClr w14:val="tx1">
                <w14:lumMod w14:val="95000"/>
                <w14:lumOff w14:val="5000"/>
              </w14:schemeClr>
            </w14:solidFill>
          </w14:textFill>
        </w:rPr>
        <w:t>统计学</w:t>
      </w:r>
      <w:r>
        <w:rPr>
          <w:rFonts w:hint="eastAsia" w:ascii="宋体" w:hAnsi="宋体" w:cs="宋体"/>
          <w:color w:val="0D0D0D" w:themeColor="text1" w:themeTint="F2"/>
          <w:sz w:val="24"/>
          <w14:textFill>
            <w14:solidFill>
              <w14:schemeClr w14:val="tx1">
                <w14:lumMod w14:val="95000"/>
                <w14:lumOff w14:val="5000"/>
              </w14:schemeClr>
            </w14:solidFill>
          </w14:textFill>
        </w:rPr>
        <w:t>学术硕士授权点</w:t>
      </w:r>
      <w:r>
        <w:rPr>
          <w:rFonts w:ascii="宋体" w:hAnsi="宋体" w:cs="宋体"/>
          <w:color w:val="0D0D0D" w:themeColor="text1" w:themeTint="F2"/>
          <w:sz w:val="24"/>
          <w14:textFill>
            <w14:solidFill>
              <w14:schemeClr w14:val="tx1">
                <w14:lumMod w14:val="95000"/>
                <w14:lumOff w14:val="5000"/>
              </w14:schemeClr>
            </w14:solidFill>
          </w14:textFill>
        </w:rPr>
        <w:t>隶属</w:t>
      </w:r>
      <w:r>
        <w:rPr>
          <w:rFonts w:hint="eastAsia" w:ascii="宋体" w:hAnsi="宋体" w:cs="宋体"/>
          <w:color w:val="0D0D0D" w:themeColor="text1" w:themeTint="F2"/>
          <w:sz w:val="24"/>
          <w14:textFill>
            <w14:solidFill>
              <w14:schemeClr w14:val="tx1">
                <w14:lumMod w14:val="95000"/>
                <w14:lumOff w14:val="5000"/>
              </w14:schemeClr>
            </w14:solidFill>
          </w14:textFill>
        </w:rPr>
        <w:t>广东财经大学</w:t>
      </w:r>
      <w:r>
        <w:rPr>
          <w:rFonts w:ascii="宋体" w:hAnsi="宋体" w:cs="宋体"/>
          <w:color w:val="0D0D0D" w:themeColor="text1" w:themeTint="F2"/>
          <w:sz w:val="24"/>
          <w14:textFill>
            <w14:solidFill>
              <w14:schemeClr w14:val="tx1">
                <w14:lumMod w14:val="95000"/>
                <w14:lumOff w14:val="5000"/>
              </w14:schemeClr>
            </w14:solidFill>
          </w14:textFill>
        </w:rPr>
        <w:t>统计与</w:t>
      </w:r>
      <w:r>
        <w:rPr>
          <w:rFonts w:hint="eastAsia" w:ascii="宋体" w:hAnsi="宋体" w:cs="宋体"/>
          <w:color w:val="0D0D0D" w:themeColor="text1" w:themeTint="F2"/>
          <w:sz w:val="24"/>
          <w14:textFill>
            <w14:solidFill>
              <w14:schemeClr w14:val="tx1">
                <w14:lumMod w14:val="95000"/>
                <w14:lumOff w14:val="5000"/>
              </w14:schemeClr>
            </w14:solidFill>
          </w14:textFill>
        </w:rPr>
        <w:t>数据科学</w:t>
      </w:r>
      <w:r>
        <w:rPr>
          <w:rFonts w:ascii="宋体" w:hAnsi="宋体" w:cs="宋体"/>
          <w:color w:val="0D0D0D" w:themeColor="text1" w:themeTint="F2"/>
          <w:sz w:val="24"/>
          <w14:textFill>
            <w14:solidFill>
              <w14:schemeClr w14:val="tx1">
                <w14:lumMod w14:val="95000"/>
                <w14:lumOff w14:val="5000"/>
              </w14:schemeClr>
            </w14:solidFill>
          </w14:textFill>
        </w:rPr>
        <w:t>学院。</w:t>
      </w:r>
      <w:r>
        <w:rPr>
          <w:rFonts w:hint="eastAsia" w:ascii="宋体" w:hAnsi="宋体" w:cs="宋体"/>
          <w:color w:val="0D0D0D" w:themeColor="text1" w:themeTint="F2"/>
          <w:sz w:val="24"/>
          <w14:textFill>
            <w14:solidFill>
              <w14:schemeClr w14:val="tx1">
                <w14:lumMod w14:val="95000"/>
                <w14:lumOff w14:val="5000"/>
              </w14:schemeClr>
            </w14:solidFill>
          </w14:textFill>
        </w:rPr>
        <w:t>学院现拥有应用经济学一级学科博士学位授权点下设的经济统计学方向、统计学一级学科硕士学位授权点、数学一级学科硕士授权点和应用统计专业硕士学位授权点。学院现有教职工111人，其中专任教师99人，教授18人，副教授37人，硕士生导师47人，拥有博士学位84人，博士后9人，海外留学（访学）教师24人；广东省“南粤优秀教师”3人。近五年来，全院获国家自然科学基金项目13项、国家社科基金项目3项，省部级、厅级项目近80项，科研经费1000多万元。发表高水平论文300余篇，其中A类论文40多篇(含中国科学4篇),被SCI收录100余篇。学院拥有3个研究机构：大数据与教育统计应用实验室（广东省重点实验室）、大数据与统计研究院和人工智能与深度学习研究所。学院近年来依托统计学学科开展应用研究，卓有成效</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地</w:t>
      </w:r>
      <w:r>
        <w:rPr>
          <w:rFonts w:hint="eastAsia" w:ascii="宋体" w:hAnsi="宋体" w:cs="宋体"/>
          <w:color w:val="0D0D0D" w:themeColor="text1" w:themeTint="F2"/>
          <w:sz w:val="24"/>
          <w14:textFill>
            <w14:solidFill>
              <w14:schemeClr w14:val="tx1">
                <w14:lumMod w14:val="95000"/>
                <w14:lumOff w14:val="5000"/>
              </w14:schemeClr>
            </w14:solidFill>
          </w14:textFill>
        </w:rPr>
        <w:t>完成一系列社会服务项目，咨询报告获省部级以上中央领导批示10多项、广州市、</w:t>
      </w:r>
      <w:r>
        <w:rPr>
          <w:rFonts w:hint="eastAsia" w:ascii="宋体" w:hAnsi="宋体" w:cs="宋体"/>
          <w:color w:val="0D0D0D" w:themeColor="text1" w:themeTint="F2"/>
          <w:sz w:val="24"/>
          <w:lang w:eastAsia="zh-CN"/>
          <w14:textFill>
            <w14:solidFill>
              <w14:schemeClr w14:val="tx1">
                <w14:lumMod w14:val="95000"/>
                <w14:lumOff w14:val="5000"/>
              </w14:schemeClr>
            </w14:solidFill>
          </w14:textFill>
        </w:rPr>
        <w:t>广东省委</w:t>
      </w:r>
      <w:r>
        <w:rPr>
          <w:rFonts w:hint="eastAsia" w:ascii="宋体" w:hAnsi="宋体" w:cs="宋体"/>
          <w:color w:val="0D0D0D" w:themeColor="text1" w:themeTint="F2"/>
          <w:sz w:val="24"/>
          <w14:textFill>
            <w14:solidFill>
              <w14:schemeClr w14:val="tx1">
                <w14:lumMod w14:val="95000"/>
                <w14:lumOff w14:val="5000"/>
              </w14:schemeClr>
            </w14:solidFill>
          </w14:textFill>
        </w:rPr>
        <w:t>等采纳近30项。</w:t>
      </w:r>
      <w:r>
        <w:rPr>
          <w:rFonts w:hint="eastAsia" w:asciiTheme="minorEastAsia" w:hAnsiTheme="minorEastAsia" w:eastAsiaTheme="minorEastAsia" w:cstheme="minorEastAsia"/>
          <w:sz w:val="24"/>
          <w:szCs w:val="24"/>
        </w:rPr>
        <w:t xml:space="preserve"> </w:t>
      </w:r>
    </w:p>
    <w:p w14:paraId="5F9E5F62">
      <w:pPr>
        <w:widowControl/>
        <w:snapToGrid w:val="0"/>
        <w:ind w:firstLine="0" w:firstLineChars="0"/>
        <w:rPr>
          <w:rFonts w:hint="eastAsia" w:asciiTheme="minorEastAsia" w:hAnsiTheme="minorEastAsia" w:eastAsiaTheme="minorEastAsia" w:cstheme="minorEastAsia"/>
          <w:sz w:val="24"/>
          <w:szCs w:val="24"/>
        </w:rPr>
      </w:pPr>
    </w:p>
    <w:p w14:paraId="124EE05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培养目标：</w:t>
      </w:r>
      <w:r>
        <w:rPr>
          <w:rFonts w:hint="eastAsia" w:asciiTheme="minorEastAsia" w:hAnsiTheme="minorEastAsia" w:eastAsiaTheme="minorEastAsia" w:cstheme="minorEastAsia"/>
          <w:sz w:val="24"/>
          <w:szCs w:val="24"/>
        </w:rPr>
        <w:t>本学科点致力于培养热爱祖国，热爱社会主义、自觉坚持党的基本路线，能够掌握统计学基本理论与方法，并用之解释、分析现实经济和社会问题，具有良好的道德品质和开拓精神以及体魄健康的统计高层次人才。</w:t>
      </w:r>
    </w:p>
    <w:p w14:paraId="6DAF64B9">
      <w:pPr>
        <w:rPr>
          <w:rFonts w:hint="eastAsia" w:asciiTheme="minorEastAsia" w:hAnsiTheme="minorEastAsia" w:eastAsiaTheme="minorEastAsia" w:cstheme="minorEastAsia"/>
          <w:sz w:val="24"/>
          <w:szCs w:val="24"/>
        </w:rPr>
      </w:pPr>
    </w:p>
    <w:p w14:paraId="054E20D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主要课程：</w:t>
      </w:r>
      <w:r>
        <w:rPr>
          <w:rFonts w:hint="eastAsia" w:asciiTheme="minorEastAsia" w:hAnsiTheme="minorEastAsia" w:eastAsiaTheme="minorEastAsia" w:cstheme="minorEastAsia"/>
          <w:sz w:val="24"/>
          <w:szCs w:val="24"/>
        </w:rPr>
        <w:t>高等统计学、中级宏微观经济学、中高级计量经济学、大数据理论与方法、多元统计分析、时间序列分析、非参数统计、应用随机过程、宏观经济统计与分析、数据挖掘理论及算法、抽样技术、风险管理与精算、机器学习、数据挖掘、现代统计和大数据分析软件等。</w:t>
      </w:r>
    </w:p>
    <w:p w14:paraId="043BD152">
      <w:pPr>
        <w:rPr>
          <w:rFonts w:hint="eastAsia" w:asciiTheme="minorEastAsia" w:hAnsiTheme="minorEastAsia" w:eastAsiaTheme="minorEastAsia" w:cstheme="minorEastAsia"/>
          <w:sz w:val="24"/>
          <w:szCs w:val="24"/>
        </w:rPr>
      </w:pPr>
    </w:p>
    <w:p w14:paraId="20EA03D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就业方向：</w:t>
      </w:r>
      <w:r>
        <w:rPr>
          <w:rFonts w:hint="eastAsia" w:asciiTheme="minorEastAsia" w:hAnsiTheme="minorEastAsia" w:eastAsiaTheme="minorEastAsia" w:cstheme="minorEastAsia"/>
          <w:sz w:val="24"/>
          <w:szCs w:val="24"/>
        </w:rPr>
        <w:t>各级政府管理部门、教学和科研单位、金融和互联网公司、企业、升学等；还可进一步报考统计学以及经济学和管理学门类的博士研究生（2024年达到20%），继续求学深造。</w:t>
      </w:r>
    </w:p>
    <w:p w14:paraId="5F241355">
      <w:pPr>
        <w:rPr>
          <w:rFonts w:hint="eastAsia" w:asciiTheme="minorEastAsia" w:hAnsiTheme="minorEastAsia" w:eastAsiaTheme="minorEastAsia" w:cstheme="minorEastAsia"/>
          <w:sz w:val="24"/>
          <w:szCs w:val="24"/>
        </w:rPr>
      </w:pPr>
    </w:p>
    <w:p w14:paraId="4D639163">
      <w:pPr>
        <w:widowControl/>
        <w:snapToGrid w:val="0"/>
        <w:ind w:firstLine="241" w:firstLineChars="100"/>
        <w:jc w:val="center"/>
        <w:rPr>
          <w:rFonts w:hint="eastAsia" w:ascii="宋体" w:hAnsi="宋体" w:cs="宋体"/>
          <w:b/>
          <w:sz w:val="24"/>
        </w:rPr>
      </w:pPr>
      <w:r>
        <w:rPr>
          <w:rFonts w:hint="eastAsia" w:asciiTheme="minorEastAsia" w:hAnsiTheme="minorEastAsia" w:eastAsiaTheme="minorEastAsia" w:cstheme="minorEastAsia"/>
          <w:b/>
          <w:sz w:val="24"/>
          <w:szCs w:val="24"/>
        </w:rPr>
        <w:t xml:space="preserve">专业代码：027000                         </w:t>
      </w:r>
      <w:r>
        <w:rPr>
          <w:rFonts w:hint="eastAsia" w:ascii="宋体" w:hAnsi="宋体" w:cs="宋体"/>
          <w:b/>
          <w:sz w:val="24"/>
        </w:rPr>
        <w:t>咨询电话：020-84039126</w:t>
      </w:r>
    </w:p>
    <w:tbl>
      <w:tblPr>
        <w:tblStyle w:val="7"/>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4"/>
        <w:gridCol w:w="3012"/>
        <w:gridCol w:w="2741"/>
        <w:gridCol w:w="1843"/>
      </w:tblGrid>
      <w:tr w14:paraId="036B8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704" w:type="dxa"/>
            <w:tcBorders>
              <w:top w:val="single" w:color="auto" w:sz="4" w:space="0"/>
              <w:left w:val="single" w:color="auto" w:sz="4" w:space="0"/>
              <w:bottom w:val="single" w:color="auto" w:sz="4" w:space="0"/>
            </w:tcBorders>
            <w:shd w:val="clear" w:color="FFFFFF" w:fill="auto"/>
            <w:vAlign w:val="center"/>
          </w:tcPr>
          <w:p w14:paraId="4237B03B">
            <w:pPr>
              <w:autoSpaceDE w:val="0"/>
              <w:autoSpaceDN w:val="0"/>
              <w:adjustRightInd w:val="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序号</w:t>
            </w:r>
          </w:p>
        </w:tc>
        <w:tc>
          <w:tcPr>
            <w:tcW w:w="3012" w:type="dxa"/>
            <w:tcBorders>
              <w:top w:val="single" w:color="auto" w:sz="4" w:space="0"/>
            </w:tcBorders>
            <w:shd w:val="clear" w:color="FFFFFF" w:fill="auto"/>
            <w:vAlign w:val="center"/>
          </w:tcPr>
          <w:p w14:paraId="0D2C95E4">
            <w:pPr>
              <w:autoSpaceDE w:val="0"/>
              <w:autoSpaceDN w:val="0"/>
              <w:adjustRightInd w:val="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研究方向</w:t>
            </w:r>
          </w:p>
        </w:tc>
        <w:tc>
          <w:tcPr>
            <w:tcW w:w="2741" w:type="dxa"/>
            <w:tcBorders>
              <w:top w:val="single" w:color="auto" w:sz="4" w:space="0"/>
            </w:tcBorders>
            <w:shd w:val="clear" w:color="FFFFFF" w:fill="auto"/>
            <w:vAlign w:val="center"/>
          </w:tcPr>
          <w:p w14:paraId="0EFDC6F6">
            <w:pPr>
              <w:autoSpaceDE w:val="0"/>
              <w:autoSpaceDN w:val="0"/>
              <w:adjustRightInd w:val="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初试科目</w:t>
            </w:r>
          </w:p>
        </w:tc>
        <w:tc>
          <w:tcPr>
            <w:tcW w:w="1843" w:type="dxa"/>
            <w:tcBorders>
              <w:top w:val="single" w:color="auto" w:sz="4" w:space="0"/>
              <w:right w:val="single" w:color="auto" w:sz="4" w:space="0"/>
            </w:tcBorders>
            <w:shd w:val="clear" w:color="FFFFFF" w:fill="auto"/>
            <w:vAlign w:val="center"/>
          </w:tcPr>
          <w:p w14:paraId="63DB78D0">
            <w:pPr>
              <w:autoSpaceDE w:val="0"/>
              <w:autoSpaceDN w:val="0"/>
              <w:adjustRightInd w:val="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复试科目</w:t>
            </w:r>
          </w:p>
        </w:tc>
      </w:tr>
      <w:tr w14:paraId="0FFDD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tcBorders>
            <w:shd w:val="clear" w:color="FFFFFF" w:fill="auto"/>
            <w:vAlign w:val="center"/>
          </w:tcPr>
          <w:p w14:paraId="4D6E14C1">
            <w:pPr>
              <w:autoSpaceDE w:val="0"/>
              <w:autoSpaceDN w:val="0"/>
              <w:adjustRightInd w:val="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p>
        </w:tc>
        <w:tc>
          <w:tcPr>
            <w:tcW w:w="3012" w:type="dxa"/>
            <w:tcBorders>
              <w:bottom w:val="single" w:color="auto" w:sz="4" w:space="0"/>
            </w:tcBorders>
            <w:shd w:val="clear" w:color="FFFFFF" w:fill="auto"/>
            <w:vAlign w:val="center"/>
          </w:tcPr>
          <w:p w14:paraId="6FC5829A">
            <w:pPr>
              <w:autoSpaceDE w:val="0"/>
              <w:autoSpaceDN w:val="0"/>
              <w:adjustRightInd w:val="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社会经济统计</w:t>
            </w:r>
          </w:p>
        </w:tc>
        <w:tc>
          <w:tcPr>
            <w:tcW w:w="2741" w:type="dxa"/>
            <w:vMerge w:val="restart"/>
            <w:tcBorders>
              <w:bottom w:val="single" w:color="auto" w:sz="4" w:space="0"/>
            </w:tcBorders>
            <w:shd w:val="clear" w:color="FFFFFF" w:fill="auto"/>
            <w:vAlign w:val="center"/>
          </w:tcPr>
          <w:p w14:paraId="71C01DA8">
            <w:pPr>
              <w:autoSpaceDE w:val="0"/>
              <w:autoSpaceDN w:val="0"/>
              <w:adjustRightInd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）▲思想政治理论（</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p w14:paraId="768CE421">
            <w:pPr>
              <w:autoSpaceDE w:val="0"/>
              <w:autoSpaceDN w:val="0"/>
              <w:adjustRightInd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）▲英语一（</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p w14:paraId="6AAF2798">
            <w:pPr>
              <w:autoSpaceDE w:val="0"/>
              <w:autoSpaceDN w:val="0"/>
              <w:adjustRightInd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）▲数学三（</w:t>
            </w:r>
            <w:r>
              <w:rPr>
                <w:rFonts w:hint="eastAsia" w:asciiTheme="minorEastAsia" w:hAnsiTheme="minorEastAsia" w:eastAsiaTheme="minorEastAsia" w:cstheme="minorEastAsia"/>
                <w:color w:val="000000"/>
                <w:kern w:val="0"/>
                <w:sz w:val="24"/>
                <w:szCs w:val="24"/>
              </w:rPr>
              <w:t>150分</w:t>
            </w:r>
            <w:r>
              <w:rPr>
                <w:rFonts w:hint="eastAsia" w:asciiTheme="minorEastAsia" w:hAnsiTheme="minorEastAsia" w:eastAsiaTheme="minorEastAsia" w:cstheme="minorEastAsia"/>
                <w:color w:val="000000"/>
                <w:kern w:val="0"/>
                <w:sz w:val="24"/>
                <w:szCs w:val="24"/>
                <w:lang w:val="zh-CN"/>
              </w:rPr>
              <w:t>）</w:t>
            </w:r>
          </w:p>
          <w:p w14:paraId="0262A3A6">
            <w:pPr>
              <w:autoSpaceDE w:val="0"/>
              <w:autoSpaceDN w:val="0"/>
              <w:adjustRightInd w:val="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color w:val="000000"/>
                <w:kern w:val="0"/>
                <w:sz w:val="24"/>
                <w:szCs w:val="24"/>
                <w:lang w:val="zh-CN"/>
              </w:rPr>
              <w:t>）经济学基础（</w:t>
            </w:r>
            <w:r>
              <w:rPr>
                <w:rFonts w:hint="eastAsia" w:asciiTheme="minorEastAsia" w:hAnsiTheme="minorEastAsia" w:eastAsiaTheme="minorEastAsia" w:cstheme="minorEastAsia"/>
                <w:color w:val="000000"/>
                <w:kern w:val="0"/>
                <w:sz w:val="24"/>
                <w:szCs w:val="24"/>
              </w:rPr>
              <w:t>150分</w:t>
            </w:r>
            <w:r>
              <w:rPr>
                <w:rFonts w:hint="eastAsia" w:asciiTheme="minorEastAsia" w:hAnsiTheme="minorEastAsia" w:eastAsiaTheme="minorEastAsia" w:cstheme="minorEastAsia"/>
                <w:color w:val="000000"/>
                <w:kern w:val="0"/>
                <w:sz w:val="24"/>
                <w:szCs w:val="24"/>
                <w:lang w:val="zh-CN"/>
              </w:rPr>
              <w:t>）</w:t>
            </w:r>
          </w:p>
        </w:tc>
        <w:tc>
          <w:tcPr>
            <w:tcW w:w="1843" w:type="dxa"/>
            <w:vMerge w:val="restart"/>
            <w:tcBorders>
              <w:bottom w:val="single" w:color="auto" w:sz="4" w:space="0"/>
              <w:right w:val="single" w:color="auto" w:sz="4" w:space="0"/>
            </w:tcBorders>
            <w:shd w:val="clear" w:color="FFFFFF" w:fill="auto"/>
            <w:vAlign w:val="center"/>
          </w:tcPr>
          <w:p w14:paraId="2912DA6C">
            <w:pPr>
              <w:autoSpaceDE w:val="0"/>
              <w:autoSpaceDN w:val="0"/>
              <w:adjustRightInd w:val="0"/>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F509-统计学（</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tc>
      </w:tr>
      <w:tr w14:paraId="09347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jc w:val="center"/>
        </w:trPr>
        <w:tc>
          <w:tcPr>
            <w:tcW w:w="704" w:type="dxa"/>
            <w:tcBorders>
              <w:top w:val="single" w:color="auto" w:sz="4" w:space="0"/>
              <w:bottom w:val="single" w:color="auto" w:sz="4" w:space="0"/>
            </w:tcBorders>
            <w:shd w:val="clear" w:color="FFFFFF" w:fill="auto"/>
            <w:vAlign w:val="center"/>
          </w:tcPr>
          <w:p w14:paraId="2D8383CC">
            <w:pPr>
              <w:autoSpaceDE w:val="0"/>
              <w:autoSpaceDN w:val="0"/>
              <w:adjustRightInd w:val="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w:t>
            </w:r>
          </w:p>
        </w:tc>
        <w:tc>
          <w:tcPr>
            <w:tcW w:w="3012" w:type="dxa"/>
            <w:tcBorders>
              <w:top w:val="single" w:color="auto" w:sz="4" w:space="0"/>
            </w:tcBorders>
            <w:shd w:val="clear" w:color="FFFFFF" w:fill="auto"/>
            <w:vAlign w:val="center"/>
          </w:tcPr>
          <w:p w14:paraId="07369CEE">
            <w:pPr>
              <w:autoSpaceDE w:val="0"/>
              <w:autoSpaceDN w:val="0"/>
              <w:adjustRightInd w:val="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应用统计</w:t>
            </w:r>
          </w:p>
        </w:tc>
        <w:tc>
          <w:tcPr>
            <w:tcW w:w="2741" w:type="dxa"/>
            <w:vMerge w:val="continue"/>
            <w:tcBorders>
              <w:top w:val="single" w:color="auto" w:sz="4" w:space="0"/>
            </w:tcBorders>
            <w:shd w:val="clear" w:color="FFFFFF" w:fill="auto"/>
            <w:vAlign w:val="center"/>
          </w:tcPr>
          <w:p w14:paraId="7A50C89F">
            <w:pPr>
              <w:autoSpaceDE w:val="0"/>
              <w:autoSpaceDN w:val="0"/>
              <w:adjustRightInd w:val="0"/>
              <w:rPr>
                <w:rFonts w:hint="eastAsia" w:asciiTheme="minorEastAsia" w:hAnsiTheme="minorEastAsia" w:eastAsiaTheme="minorEastAsia" w:cstheme="minorEastAsia"/>
                <w:color w:val="000000"/>
                <w:kern w:val="0"/>
                <w:sz w:val="24"/>
                <w:szCs w:val="24"/>
                <w:lang w:val="zh-CN"/>
              </w:rPr>
            </w:pPr>
          </w:p>
        </w:tc>
        <w:tc>
          <w:tcPr>
            <w:tcW w:w="1843" w:type="dxa"/>
            <w:vMerge w:val="continue"/>
            <w:tcBorders>
              <w:top w:val="single" w:color="auto" w:sz="4" w:space="0"/>
              <w:right w:val="single" w:color="auto" w:sz="4" w:space="0"/>
            </w:tcBorders>
            <w:shd w:val="clear" w:color="FFFFFF" w:fill="auto"/>
            <w:vAlign w:val="center"/>
          </w:tcPr>
          <w:p w14:paraId="4D6FCA75">
            <w:pPr>
              <w:autoSpaceDE w:val="0"/>
              <w:autoSpaceDN w:val="0"/>
              <w:adjustRightInd w:val="0"/>
              <w:jc w:val="center"/>
              <w:rPr>
                <w:rFonts w:hint="eastAsia" w:asciiTheme="minorEastAsia" w:hAnsiTheme="minorEastAsia" w:eastAsiaTheme="minorEastAsia" w:cstheme="minorEastAsia"/>
                <w:color w:val="000000"/>
                <w:kern w:val="0"/>
                <w:sz w:val="24"/>
                <w:szCs w:val="24"/>
                <w:lang w:val="zh-CN"/>
              </w:rPr>
            </w:pPr>
          </w:p>
        </w:tc>
      </w:tr>
      <w:tr w14:paraId="1AA69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8" w:hRule="atLeast"/>
          <w:jc w:val="center"/>
        </w:trPr>
        <w:tc>
          <w:tcPr>
            <w:tcW w:w="704" w:type="dxa"/>
            <w:tcBorders>
              <w:top w:val="single" w:color="auto" w:sz="4" w:space="0"/>
              <w:bottom w:val="single" w:color="auto" w:sz="4" w:space="0"/>
            </w:tcBorders>
            <w:shd w:val="clear" w:color="FFFFFF" w:fill="auto"/>
            <w:vAlign w:val="center"/>
          </w:tcPr>
          <w:p w14:paraId="4EC80C7B">
            <w:pPr>
              <w:autoSpaceDE w:val="0"/>
              <w:autoSpaceDN w:val="0"/>
              <w:adjustRightInd w:val="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p>
        </w:tc>
        <w:tc>
          <w:tcPr>
            <w:tcW w:w="3012" w:type="dxa"/>
            <w:tcBorders>
              <w:bottom w:val="single" w:color="auto" w:sz="4" w:space="0"/>
            </w:tcBorders>
            <w:shd w:val="clear" w:color="FFFFFF" w:fill="auto"/>
            <w:vAlign w:val="center"/>
          </w:tcPr>
          <w:p w14:paraId="4455D33B">
            <w:pPr>
              <w:autoSpaceDE w:val="0"/>
              <w:autoSpaceDN w:val="0"/>
              <w:adjustRightInd w:val="0"/>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风险管理与金融统计</w:t>
            </w:r>
          </w:p>
        </w:tc>
        <w:tc>
          <w:tcPr>
            <w:tcW w:w="2741" w:type="dxa"/>
            <w:vMerge w:val="continue"/>
            <w:shd w:val="clear" w:color="000000" w:fill="FFFFFF"/>
            <w:vAlign w:val="center"/>
          </w:tcPr>
          <w:p w14:paraId="49DF81D3">
            <w:pPr>
              <w:autoSpaceDE w:val="0"/>
              <w:autoSpaceDN w:val="0"/>
              <w:adjustRightInd w:val="0"/>
              <w:jc w:val="left"/>
              <w:rPr>
                <w:rFonts w:hint="eastAsia" w:asciiTheme="minorEastAsia" w:hAnsiTheme="minorEastAsia" w:eastAsiaTheme="minorEastAsia" w:cstheme="minorEastAsia"/>
                <w:kern w:val="0"/>
                <w:sz w:val="24"/>
                <w:szCs w:val="24"/>
                <w:lang w:val="zh-CN"/>
              </w:rPr>
            </w:pPr>
          </w:p>
        </w:tc>
        <w:tc>
          <w:tcPr>
            <w:tcW w:w="1843" w:type="dxa"/>
            <w:vMerge w:val="continue"/>
            <w:tcBorders>
              <w:right w:val="single" w:color="auto" w:sz="4" w:space="0"/>
            </w:tcBorders>
            <w:shd w:val="clear" w:color="000000" w:fill="FFFFFF"/>
            <w:vAlign w:val="center"/>
          </w:tcPr>
          <w:p w14:paraId="25D34411">
            <w:pPr>
              <w:autoSpaceDE w:val="0"/>
              <w:autoSpaceDN w:val="0"/>
              <w:adjustRightInd w:val="0"/>
              <w:jc w:val="left"/>
              <w:rPr>
                <w:rFonts w:hint="eastAsia" w:asciiTheme="minorEastAsia" w:hAnsiTheme="minorEastAsia" w:eastAsiaTheme="minorEastAsia" w:cstheme="minorEastAsia"/>
                <w:kern w:val="0"/>
                <w:sz w:val="24"/>
                <w:szCs w:val="24"/>
                <w:lang w:val="zh-CN"/>
              </w:rPr>
            </w:pPr>
          </w:p>
        </w:tc>
      </w:tr>
    </w:tbl>
    <w:p w14:paraId="29FF346D">
      <w:pPr>
        <w:numPr>
          <w:ilvl w:val="0"/>
          <w:numId w:val="1"/>
        </w:numPr>
        <w:autoSpaceDE w:val="0"/>
        <w:autoSpaceDN w:val="0"/>
        <w:adjustRightInd w:val="0"/>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b/>
          <w:bCs/>
          <w:color w:val="000000"/>
          <w:kern w:val="0"/>
          <w:sz w:val="24"/>
          <w:szCs w:val="24"/>
          <w:lang w:val="zh-CN"/>
        </w:rPr>
        <w:t>表示统考科目或联考科目，考试题型、考试大纲以教育部公布为准。其他为自命题科目</w:t>
      </w:r>
      <w:r>
        <w:rPr>
          <w:rFonts w:hint="eastAsia" w:asciiTheme="minorEastAsia" w:hAnsiTheme="minorEastAsia" w:eastAsiaTheme="minorEastAsia" w:cstheme="minorEastAsia"/>
          <w:color w:val="000000"/>
          <w:kern w:val="0"/>
          <w:sz w:val="24"/>
          <w:szCs w:val="24"/>
          <w:lang w:val="zh-CN"/>
        </w:rPr>
        <w:t>。</w:t>
      </w:r>
    </w:p>
    <w:p w14:paraId="222EAA78">
      <w:pPr>
        <w:autoSpaceDE w:val="0"/>
        <w:autoSpaceDN w:val="0"/>
        <w:adjustRightInd w:val="0"/>
        <w:rPr>
          <w:rFonts w:hint="eastAsia" w:asciiTheme="minorEastAsia" w:hAnsiTheme="minorEastAsia" w:eastAsiaTheme="minorEastAsia" w:cstheme="minorEastAsia"/>
          <w:color w:val="000000"/>
          <w:kern w:val="0"/>
          <w:sz w:val="24"/>
          <w:szCs w:val="24"/>
          <w:lang w:val="zh-CN"/>
        </w:rPr>
      </w:pPr>
    </w:p>
    <w:p w14:paraId="13E9819B">
      <w:pPr>
        <w:snapToGrid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考试题型及相应分值：</w:t>
      </w:r>
    </w:p>
    <w:p w14:paraId="5010FD68">
      <w:pPr>
        <w:adjustRightInd w:val="0"/>
        <w:snapToGrid w:val="0"/>
        <w:jc w:val="left"/>
        <w:rPr>
          <w:rFonts w:hint="eastAsia" w:ascii="宋体" w:hAnsi="宋体" w:cs="宋体"/>
          <w:b/>
          <w:sz w:val="24"/>
          <w:szCs w:val="24"/>
        </w:rPr>
      </w:pPr>
      <w:r>
        <w:rPr>
          <w:rFonts w:hint="eastAsia" w:ascii="宋体" w:hAnsi="宋体" w:cs="宋体"/>
          <w:b/>
          <w:sz w:val="24"/>
          <w:szCs w:val="24"/>
        </w:rPr>
        <w:t>《经济学基础》</w:t>
      </w:r>
    </w:p>
    <w:p w14:paraId="35D4A9F4">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一、名词解释（6题，每题5分，共30分）</w:t>
      </w:r>
    </w:p>
    <w:p w14:paraId="2D51783D">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二、简答题（6题，每题10分，共60分）</w:t>
      </w:r>
    </w:p>
    <w:p w14:paraId="63B605EA">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三、论述题（2题，每题30分，共60分）</w:t>
      </w:r>
    </w:p>
    <w:p w14:paraId="77045EF4">
      <w:pPr>
        <w:shd w:val="solid" w:color="FFFFFF" w:fill="auto"/>
        <w:autoSpaceDN w:val="0"/>
        <w:adjustRightInd w:val="0"/>
        <w:snapToGrid w:val="0"/>
        <w:rPr>
          <w:rFonts w:hint="eastAsia" w:ascii="宋体" w:hAnsi="宋体" w:cs="宋体"/>
          <w:sz w:val="24"/>
          <w:szCs w:val="24"/>
          <w:shd w:val="clear" w:color="auto" w:fill="FFFFFF"/>
        </w:rPr>
      </w:pPr>
      <w:r>
        <w:rPr>
          <w:rFonts w:hint="eastAsia" w:ascii="宋体" w:hAnsi="宋体" w:cs="宋体"/>
          <w:sz w:val="24"/>
          <w:szCs w:val="24"/>
          <w:shd w:val="clear" w:color="auto" w:fill="FFFFFF"/>
        </w:rPr>
        <w:t>参考书目：高鸿业，《西方经济学(宏/微观)》第8版，中国人民大学出版社，2021。</w:t>
      </w:r>
    </w:p>
    <w:p w14:paraId="2831851B">
      <w:pPr>
        <w:adjustRightInd w:val="0"/>
        <w:snapToGrid w:val="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《统计学》</w:t>
      </w:r>
    </w:p>
    <w:p w14:paraId="0A6AE718">
      <w:pPr>
        <w:adjustRightInd w:val="0"/>
        <w:snapToGrid w:val="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一、名词解释（4题，每题5分，共20分）</w:t>
      </w:r>
    </w:p>
    <w:p w14:paraId="238203AE">
      <w:pPr>
        <w:adjustRightInd w:val="0"/>
        <w:snapToGrid w:val="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二、计算与分析</w:t>
      </w:r>
      <w:r>
        <w:rPr>
          <w:rFonts w:hint="eastAsia" w:asciiTheme="minorEastAsia" w:hAnsiTheme="minorEastAsia" w:eastAsiaTheme="minorEastAsia" w:cstheme="minorEastAsia"/>
          <w:sz w:val="24"/>
          <w:szCs w:val="24"/>
        </w:rPr>
        <w:t>（3题，共50分）</w:t>
      </w:r>
    </w:p>
    <w:p w14:paraId="7C964E66">
      <w:pPr>
        <w:adjustRightInd w:val="0"/>
        <w:snapToGrid w:val="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三、简述题（2题，每题15分，共30分）</w:t>
      </w:r>
    </w:p>
    <w:p w14:paraId="60D7664A">
      <w:pPr>
        <w:shd w:val="solid" w:color="FFFFFF" w:fill="auto"/>
        <w:autoSpaceDN w:val="0"/>
        <w:adjustRightInd w:val="0"/>
        <w:snapToGrid w:val="0"/>
        <w:rPr>
          <w:rFonts w:hint="eastAsia" w:ascii="宋体" w:hAnsi="宋体" w:cs="宋体"/>
          <w:sz w:val="24"/>
          <w:szCs w:val="24"/>
          <w:shd w:val="clear" w:color="auto" w:fill="FFFFFF"/>
        </w:rPr>
      </w:pPr>
      <w:r>
        <w:rPr>
          <w:rFonts w:hint="eastAsia" w:asciiTheme="minorEastAsia" w:hAnsiTheme="minorEastAsia" w:eastAsiaTheme="minorEastAsia" w:cstheme="minorEastAsia"/>
          <w:b/>
          <w:sz w:val="24"/>
          <w:szCs w:val="24"/>
          <w:lang w:eastAsia="zh-CN"/>
        </w:rPr>
        <w:t>参考书目</w:t>
      </w:r>
      <w:r>
        <w:rPr>
          <w:rFonts w:hint="eastAsia" w:asciiTheme="minorEastAsia" w:hAnsiTheme="minorEastAsia" w:eastAsiaTheme="minorEastAsia" w:cstheme="minorEastAsia"/>
          <w:b/>
          <w:sz w:val="24"/>
          <w:szCs w:val="24"/>
        </w:rPr>
        <w:t>：</w:t>
      </w:r>
      <w:r>
        <w:rPr>
          <w:rFonts w:hint="eastAsia" w:ascii="宋体" w:hAnsi="宋体" w:cs="宋体"/>
          <w:sz w:val="24"/>
          <w:szCs w:val="24"/>
          <w:shd w:val="clear" w:color="auto" w:fill="FFFFFF"/>
        </w:rPr>
        <w:t>刘照德等，《统计学》，西南大学出版社，2023.</w:t>
      </w:r>
    </w:p>
    <w:p w14:paraId="12CDCE22">
      <w:pPr>
        <w:adjustRightInd w:val="0"/>
        <w:snapToGrid w:val="0"/>
        <w:rPr>
          <w:rFonts w:hint="eastAsia" w:asciiTheme="minorEastAsia" w:hAnsiTheme="minorEastAsia" w:eastAsiaTheme="minorEastAsia" w:cstheme="minorEastAsia"/>
          <w:b/>
          <w:sz w:val="24"/>
          <w:szCs w:val="24"/>
        </w:rPr>
      </w:pPr>
    </w:p>
    <w:p w14:paraId="51A5EB0C">
      <w:pPr>
        <w:adjustRightInd w:val="0"/>
        <w:snapToGrid w:val="0"/>
        <w:rPr>
          <w:rFonts w:hint="eastAsia" w:asciiTheme="minorEastAsia" w:hAnsiTheme="minorEastAsia" w:eastAsiaTheme="minorEastAsia" w:cstheme="minorEastAsia"/>
          <w:b/>
          <w:sz w:val="24"/>
          <w:szCs w:val="24"/>
        </w:rPr>
      </w:pPr>
    </w:p>
    <w:p w14:paraId="2729CB3F">
      <w:pPr>
        <w:adjustRightInd w:val="0"/>
        <w:snapToGrid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考试大纲</w:t>
      </w:r>
    </w:p>
    <w:p w14:paraId="529051DD">
      <w:pPr>
        <w:widowControl/>
        <w:snapToGrid w:val="0"/>
        <w:jc w:val="center"/>
        <w:rPr>
          <w:rFonts w:hint="eastAsia" w:asciiTheme="minorEastAsia" w:hAnsiTheme="minorEastAsia" w:eastAsiaTheme="minorEastAsia" w:cstheme="minorEastAsia"/>
          <w:b/>
          <w:bCs/>
          <w:kern w:val="0"/>
          <w:sz w:val="24"/>
          <w:szCs w:val="24"/>
        </w:rPr>
      </w:pPr>
      <w:r>
        <w:rPr>
          <w:rFonts w:hint="eastAsia" w:ascii="黑体" w:hAnsi="黑体" w:eastAsia="黑体" w:cs="黑体"/>
          <w:b/>
          <w:bCs/>
          <w:kern w:val="0"/>
          <w:sz w:val="36"/>
          <w:szCs w:val="36"/>
        </w:rPr>
        <w:t>《经济学基础》</w:t>
      </w:r>
    </w:p>
    <w:p w14:paraId="4AD9D957">
      <w:pPr>
        <w:adjustRightInd w:val="0"/>
        <w:snapToGrid w:val="0"/>
        <w:rPr>
          <w:rFonts w:hint="eastAsia"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14:paraId="518B7AB9">
      <w:pPr>
        <w:widowControl/>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w:t>
      </w:r>
      <w:r>
        <w:rPr>
          <w:rFonts w:ascii="宋体" w:hAnsi="宋体" w:cs="宋体"/>
          <w:color w:val="000000"/>
          <w:sz w:val="24"/>
          <w:szCs w:val="24"/>
          <w:shd w:val="clear" w:color="auto" w:fill="FFFFFF"/>
        </w:rPr>
        <w:t>理论，</w:t>
      </w:r>
      <w:r>
        <w:rPr>
          <w:rFonts w:hint="eastAsia" w:ascii="宋体" w:hAnsi="宋体" w:cs="宋体"/>
          <w:color w:val="000000"/>
          <w:sz w:val="24"/>
          <w:szCs w:val="24"/>
          <w:shd w:val="clear" w:color="auto" w:fill="FFFFFF"/>
        </w:rPr>
        <w:t>国民收入决定理论，产品</w:t>
      </w:r>
      <w:r>
        <w:rPr>
          <w:rFonts w:ascii="宋体" w:hAnsi="宋体" w:cs="宋体"/>
          <w:color w:val="000000"/>
          <w:sz w:val="24"/>
          <w:szCs w:val="24"/>
          <w:shd w:val="clear" w:color="auto" w:fill="FFFFFF"/>
        </w:rPr>
        <w:t>与货币市场均衡理论，</w:t>
      </w:r>
      <w:r>
        <w:rPr>
          <w:rFonts w:hint="eastAsia" w:ascii="宋体" w:hAnsi="宋体" w:cs="宋体"/>
          <w:color w:val="000000"/>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54621096">
      <w:pPr>
        <w:widowControl/>
        <w:snapToGrid w:val="0"/>
        <w:rPr>
          <w:rFonts w:hint="eastAsia" w:ascii="宋体" w:hAnsi="宋体" w:cs="宋体"/>
          <w:b/>
          <w:bCs/>
          <w:color w:val="000000"/>
          <w:sz w:val="24"/>
          <w:szCs w:val="24"/>
          <w:shd w:val="clear" w:color="auto" w:fill="FFFFFF"/>
        </w:rPr>
      </w:pPr>
    </w:p>
    <w:p w14:paraId="39DE08A1">
      <w:pPr>
        <w:widowControl/>
        <w:snapToGrid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第一部分微观经济理论</w:t>
      </w:r>
    </w:p>
    <w:p w14:paraId="3BEF1BB4">
      <w:pPr>
        <w:widowControl/>
        <w:snapToGrid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14:paraId="1110EE79">
      <w:pPr>
        <w:numPr>
          <w:ilvl w:val="0"/>
          <w:numId w:val="2"/>
        </w:numPr>
        <w:shd w:val="solid" w:color="FFFFFF" w:fill="auto"/>
        <w:autoSpaceDN w:val="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14:paraId="57F5ECA4">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需求、需求表、需求曲线与需求规律影响需求的因素：需求函数</w:t>
      </w:r>
    </w:p>
    <w:p w14:paraId="740E895B">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需求定理需求量的变动与需求的变动</w:t>
      </w:r>
    </w:p>
    <w:p w14:paraId="6D3EB93E">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14:paraId="72023145">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供给、供给表、供给曲线影响供给的因素：供给函数</w:t>
      </w:r>
    </w:p>
    <w:p w14:paraId="1DEC2E7C">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供给定理供给量的变动与供给的变动</w:t>
      </w:r>
    </w:p>
    <w:p w14:paraId="7066E5D4">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14:paraId="55C976A0">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均衡价格含义及形成需求与供给变动对均衡的影响</w:t>
      </w:r>
    </w:p>
    <w:p w14:paraId="3FCA696C">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14:paraId="6D519A44">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需求价格弹性的含义与分类影响需求弹性的因素</w:t>
      </w:r>
    </w:p>
    <w:p w14:paraId="120FF772">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14:paraId="2D4E34DA">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14:paraId="304FE251">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14:paraId="236D23B1">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基数效用论与序数效用论</w:t>
      </w:r>
      <w:r>
        <w:rPr>
          <w:rFonts w:hint="eastAsia" w:ascii="宋体" w:hAnsi="宋体" w:cs="宋体"/>
          <w:color w:val="000000"/>
          <w:sz w:val="24"/>
          <w:szCs w:val="24"/>
          <w:shd w:val="clear" w:color="auto" w:fill="FFFFFF"/>
          <w:lang w:eastAsia="zh-CN"/>
        </w:rPr>
        <w:t>、</w:t>
      </w:r>
      <w:r>
        <w:rPr>
          <w:rFonts w:hint="eastAsia" w:ascii="宋体" w:hAnsi="宋体" w:cs="宋体"/>
          <w:color w:val="000000"/>
          <w:sz w:val="24"/>
          <w:szCs w:val="24"/>
          <w:shd w:val="clear" w:color="auto" w:fill="FFFFFF"/>
        </w:rPr>
        <w:t>总效用与边际效用</w:t>
      </w:r>
      <w:r>
        <w:rPr>
          <w:rFonts w:hint="eastAsia" w:ascii="宋体" w:hAnsi="宋体" w:cs="宋体"/>
          <w:color w:val="000000"/>
          <w:sz w:val="24"/>
          <w:szCs w:val="24"/>
          <w:shd w:val="clear" w:color="auto" w:fill="FFFFFF"/>
          <w:lang w:eastAsia="zh-CN"/>
        </w:rPr>
        <w:t>、</w:t>
      </w:r>
      <w:r>
        <w:rPr>
          <w:rFonts w:hint="eastAsia" w:ascii="宋体" w:hAnsi="宋体" w:cs="宋体"/>
          <w:color w:val="000000"/>
          <w:sz w:val="24"/>
          <w:szCs w:val="24"/>
          <w:shd w:val="clear" w:color="auto" w:fill="FFFFFF"/>
        </w:rPr>
        <w:t>边际效用递减规律</w:t>
      </w:r>
    </w:p>
    <w:p w14:paraId="2CD298F1">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14:paraId="007D60D9">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无差异曲线及特征消费可能线（预算线）消费者均衡</w:t>
      </w:r>
    </w:p>
    <w:p w14:paraId="4526E3D7">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14:paraId="7F057F53">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消费者剩余消费者行为与需求定理</w:t>
      </w:r>
    </w:p>
    <w:p w14:paraId="6968EBEF">
      <w:pPr>
        <w:shd w:val="solid" w:color="FFFFFF" w:fill="auto"/>
        <w:autoSpaceDN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14:paraId="4A139276">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14:paraId="7A738C84">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14:paraId="05693B72">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14:paraId="68911521">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14:paraId="70D23707">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14:paraId="5C6D958C">
      <w:pPr>
        <w:shd w:val="solid" w:color="FFFFFF" w:fill="auto"/>
        <w:autoSpaceDN w:val="0"/>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14:paraId="280516A2">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14:paraId="2AB2A4C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会计成本与机会成本机会成本在企业决策中的作用</w:t>
      </w:r>
    </w:p>
    <w:p w14:paraId="3E9564A7">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14:paraId="0549BB9F">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短期成本的分类各类短期成本的变动规律及其关系</w:t>
      </w:r>
    </w:p>
    <w:p w14:paraId="2B9F0A3B">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14:paraId="027D3C65">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长期总成本长期平均成本长期边际成本</w:t>
      </w:r>
    </w:p>
    <w:p w14:paraId="221BA733">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14:paraId="1CBEB08C">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总收益、平均收益与边际收益利润最大化原则</w:t>
      </w:r>
    </w:p>
    <w:p w14:paraId="752BCC41">
      <w:pPr>
        <w:shd w:val="solid" w:color="FFFFFF" w:fill="auto"/>
        <w:autoSpaceDN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14:paraId="64D0E64A">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14:paraId="753BB8AD">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市场结构类型市场结构与企业行为的关系</w:t>
      </w:r>
    </w:p>
    <w:p w14:paraId="018281C2">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14:paraId="239036BE">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完全竞争市场含义与特征完全竞争市场需求曲线、平均收益与边际收益</w:t>
      </w:r>
    </w:p>
    <w:p w14:paraId="1B6DB3E5">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利润最大化的基本原则完全竞争市场上的短期均衡与长期均衡</w:t>
      </w:r>
    </w:p>
    <w:p w14:paraId="0149ECF0">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14:paraId="180FE863">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14:paraId="0DFFB81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14:paraId="56964CF2">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14:paraId="6C4BEB4A">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14:paraId="44B1062F">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垄断竞争市场上的产品差别竞争</w:t>
      </w:r>
    </w:p>
    <w:p w14:paraId="0573BCB3">
      <w:pPr>
        <w:shd w:val="solid" w:color="FFFFFF" w:fill="auto"/>
        <w:autoSpaceDN w:val="0"/>
        <w:rPr>
          <w:rFonts w:hint="eastAsia" w:ascii="宋体" w:hAnsi="宋体" w:cs="宋体"/>
          <w:b/>
          <w:bCs/>
          <w:color w:val="000000"/>
          <w:sz w:val="24"/>
          <w:szCs w:val="24"/>
          <w:shd w:val="clear" w:color="auto" w:fill="FFFFFF"/>
        </w:rPr>
      </w:pPr>
    </w:p>
    <w:p w14:paraId="59743ADE">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第二部分宏观经济理论</w:t>
      </w:r>
    </w:p>
    <w:p w14:paraId="3A939FAC">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14:paraId="5F3455E7">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14:paraId="219F72AB">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国内生产总值的含义</w:t>
      </w:r>
    </w:p>
    <w:p w14:paraId="51C595EB">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14:paraId="0395ACA7">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实际国内生产总值与名义国内生产总值</w:t>
      </w:r>
    </w:p>
    <w:p w14:paraId="1B4B8B5C">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14:paraId="13C223A9">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14:paraId="749FF2FC">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14:paraId="646E264B">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14:paraId="1B5C195E">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物价指数失业率</w:t>
      </w:r>
    </w:p>
    <w:p w14:paraId="0BCF6FB4">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14:paraId="22101767">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14:paraId="74ED797E">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实际利率与投资边际效率</w:t>
      </w:r>
    </w:p>
    <w:p w14:paraId="38C40B74">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投资边际效率曲线预期收益与投资</w:t>
      </w:r>
    </w:p>
    <w:p w14:paraId="27609967">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14:paraId="2304CD2B">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14:paraId="43073DCB">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14:paraId="70333A54">
      <w:pPr>
        <w:shd w:val="solid" w:color="FFFFFF" w:fill="auto"/>
        <w:autoSpaceDN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三、宏观经济政策分析</w:t>
      </w:r>
    </w:p>
    <w:p w14:paraId="38871C85">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14:paraId="429530C5">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财政政策货币政策</w:t>
      </w:r>
    </w:p>
    <w:p w14:paraId="3F6AC241">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财政政策和货币政策的影响财政政策和货币政策的混合使用</w:t>
      </w:r>
    </w:p>
    <w:p w14:paraId="1977070D">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14:paraId="60EA715B">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充分就业价格稳定</w:t>
      </w:r>
    </w:p>
    <w:p w14:paraId="3DFE8367">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经济持续均衡增长国际收支平衡。</w:t>
      </w:r>
    </w:p>
    <w:p w14:paraId="534FD7C0">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14:paraId="4183C245">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财政政策工具自动稳定与相机抉择的财政政策</w:t>
      </w:r>
    </w:p>
    <w:p w14:paraId="694D8EB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功能财政和预算盈余充分就业预算盈余与财政政策方向</w:t>
      </w:r>
    </w:p>
    <w:p w14:paraId="745BE1DF">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14:paraId="44A094CF">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商业银行和中央银行存款创造和货币供给</w:t>
      </w:r>
    </w:p>
    <w:p w14:paraId="7985835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债券价格与市场利息率的关系货币政策及其工具</w:t>
      </w:r>
    </w:p>
    <w:p w14:paraId="5EB6990F">
      <w:pPr>
        <w:shd w:val="solid" w:color="FFFFFF" w:fill="auto"/>
        <w:autoSpaceDN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14:paraId="69825FFE">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14:paraId="6B44230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失业的分类自然失业率和自然就业率</w:t>
      </w:r>
    </w:p>
    <w:p w14:paraId="5D51FE5A">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失业的影响奥肯定律</w:t>
      </w:r>
    </w:p>
    <w:p w14:paraId="625B4015">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14:paraId="29D93534">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通货膨胀的含义与分类通货膨胀对经济的影响</w:t>
      </w:r>
    </w:p>
    <w:p w14:paraId="232AA9B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通货膨胀的原因需求拉动的通货膨胀理论</w:t>
      </w:r>
    </w:p>
    <w:p w14:paraId="1744C2EE">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供给推动的通货膨胀理论其他通货膨胀理论</w:t>
      </w:r>
    </w:p>
    <w:p w14:paraId="42D3544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14:paraId="2C6C2E1E">
      <w:pPr>
        <w:numPr>
          <w:ilvl w:val="0"/>
          <w:numId w:val="3"/>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14:paraId="34C4618B">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菲利普斯曲线的提出菲利普斯曲线的政策含义</w:t>
      </w:r>
    </w:p>
    <w:p w14:paraId="2CE3069B"/>
    <w:p w14:paraId="626D4EC4">
      <w:pPr>
        <w:widowControl/>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《统计学》</w:t>
      </w:r>
    </w:p>
    <w:p w14:paraId="247D8519">
      <w:pPr>
        <w:adjustRightInd w:val="0"/>
        <w:snapToGrid w:val="0"/>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《统计学》考试大纲概述：</w:t>
      </w:r>
    </w:p>
    <w:p w14:paraId="1979B689">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目考试的目的主要在于考查应试考生在大学阶段对统计学基本理论方法的学习理解、掌握与运用情况。通过考试，能够测试出考生对统计分析过程中基本概念、分类、理论方法及运用要求的熟练程度，为更准确地选出有方向研究潜力的考生提供依据。</w:t>
      </w:r>
    </w:p>
    <w:p w14:paraId="22CD96C6">
      <w:pPr>
        <w:widowControl/>
        <w:spacing w:line="400" w:lineRule="exact"/>
        <w:jc w:val="left"/>
        <w:rPr>
          <w:rFonts w:hint="eastAsia" w:ascii="宋体" w:hAnsi="宋体"/>
        </w:rPr>
      </w:pPr>
      <w:r>
        <w:rPr>
          <w:rFonts w:hint="eastAsia" w:asciiTheme="minorEastAsia" w:hAnsiTheme="minorEastAsia" w:eastAsiaTheme="minorEastAsia" w:cstheme="minorEastAsia"/>
          <w:sz w:val="24"/>
          <w:szCs w:val="24"/>
        </w:rPr>
        <w:t>　　</w:t>
      </w:r>
      <w:r>
        <w:rPr>
          <w:rFonts w:hint="eastAsia" w:ascii="宋体" w:hAnsi="宋体"/>
          <w:b/>
        </w:rPr>
        <w:t>第一章  绪论</w:t>
      </w:r>
    </w:p>
    <w:p w14:paraId="500330C1">
      <w:pPr>
        <w:ind w:firstLine="480" w:firstLineChars="200"/>
        <w:rPr>
          <w:rFonts w:hint="eastAsia" w:ascii="宋体" w:hAnsi="宋体" w:cs="宋体"/>
          <w:sz w:val="24"/>
          <w:szCs w:val="24"/>
        </w:rPr>
      </w:pPr>
      <w:r>
        <w:rPr>
          <w:rFonts w:hint="eastAsia" w:ascii="宋体" w:hAnsi="宋体" w:cs="宋体"/>
          <w:sz w:val="24"/>
          <w:szCs w:val="24"/>
        </w:rPr>
        <w:t>●统计学的含义和作用</w:t>
      </w:r>
    </w:p>
    <w:p w14:paraId="2CE16637">
      <w:pPr>
        <w:ind w:firstLine="480" w:firstLineChars="200"/>
        <w:rPr>
          <w:rFonts w:hint="eastAsia" w:ascii="宋体" w:hAnsi="宋体" w:cs="宋体"/>
          <w:sz w:val="24"/>
          <w:szCs w:val="24"/>
        </w:rPr>
      </w:pPr>
      <w:r>
        <w:rPr>
          <w:rFonts w:hint="eastAsia" w:ascii="宋体" w:hAnsi="宋体" w:cs="宋体"/>
          <w:sz w:val="24"/>
          <w:szCs w:val="24"/>
        </w:rPr>
        <w:t>●统计学的基本概念</w:t>
      </w:r>
    </w:p>
    <w:p w14:paraId="62DABC8B">
      <w:pPr>
        <w:autoSpaceDE w:val="0"/>
        <w:autoSpaceDN w:val="0"/>
        <w:adjustRightInd w:val="0"/>
        <w:spacing w:line="400" w:lineRule="exact"/>
        <w:ind w:firstLine="211" w:firstLineChars="100"/>
        <w:rPr>
          <w:rFonts w:hint="eastAsia" w:ascii="宋体" w:hAnsi="宋体"/>
        </w:rPr>
      </w:pPr>
      <w:r>
        <w:rPr>
          <w:rFonts w:hint="eastAsia" w:ascii="宋体" w:hAnsi="宋体"/>
          <w:b/>
        </w:rPr>
        <w:t>第二章  收集数据</w:t>
      </w:r>
    </w:p>
    <w:p w14:paraId="2936EC26">
      <w:pPr>
        <w:ind w:firstLine="480" w:firstLineChars="200"/>
        <w:rPr>
          <w:rFonts w:hint="eastAsia" w:ascii="宋体" w:hAnsi="宋体" w:cs="宋体"/>
          <w:sz w:val="24"/>
          <w:szCs w:val="24"/>
        </w:rPr>
      </w:pPr>
      <w:r>
        <w:rPr>
          <w:rFonts w:hint="eastAsia" w:ascii="宋体" w:hAnsi="宋体" w:cs="宋体"/>
          <w:sz w:val="24"/>
          <w:szCs w:val="24"/>
        </w:rPr>
        <w:t>● 统计调查方案设计</w:t>
      </w:r>
    </w:p>
    <w:p w14:paraId="20E65620">
      <w:pPr>
        <w:ind w:firstLine="480" w:firstLineChars="200"/>
        <w:rPr>
          <w:rFonts w:hint="eastAsia" w:ascii="宋体" w:hAnsi="宋体" w:cs="宋体"/>
          <w:sz w:val="24"/>
          <w:szCs w:val="24"/>
        </w:rPr>
      </w:pPr>
      <w:r>
        <w:rPr>
          <w:rFonts w:hint="eastAsia" w:ascii="宋体" w:hAnsi="宋体" w:cs="宋体"/>
          <w:sz w:val="24"/>
          <w:szCs w:val="24"/>
        </w:rPr>
        <w:t>● 数据收集来源</w:t>
      </w:r>
    </w:p>
    <w:p w14:paraId="530DA0DD">
      <w:pPr>
        <w:ind w:firstLine="480" w:firstLineChars="200"/>
        <w:rPr>
          <w:rFonts w:hint="eastAsia" w:ascii="宋体" w:hAnsi="宋体" w:cs="宋体"/>
          <w:sz w:val="24"/>
          <w:szCs w:val="24"/>
        </w:rPr>
      </w:pPr>
      <w:r>
        <w:rPr>
          <w:rFonts w:hint="eastAsia" w:ascii="宋体" w:hAnsi="宋体" w:cs="宋体"/>
          <w:sz w:val="24"/>
          <w:szCs w:val="24"/>
        </w:rPr>
        <w:t>●原始数据的收集</w:t>
      </w:r>
    </w:p>
    <w:p w14:paraId="21C4168C">
      <w:pPr>
        <w:ind w:firstLine="480" w:firstLineChars="200"/>
        <w:rPr>
          <w:rFonts w:hint="eastAsia" w:ascii="宋体" w:hAnsi="宋体" w:cs="宋体"/>
          <w:sz w:val="24"/>
          <w:szCs w:val="24"/>
        </w:rPr>
      </w:pPr>
      <w:r>
        <w:rPr>
          <w:rFonts w:hint="eastAsia" w:ascii="宋体" w:hAnsi="宋体" w:cs="宋体"/>
          <w:sz w:val="24"/>
          <w:szCs w:val="24"/>
        </w:rPr>
        <w:t>● 统计数据的质量</w:t>
      </w:r>
    </w:p>
    <w:p w14:paraId="44254033">
      <w:pPr>
        <w:autoSpaceDE w:val="0"/>
        <w:autoSpaceDN w:val="0"/>
        <w:adjustRightInd w:val="0"/>
        <w:spacing w:line="400" w:lineRule="exact"/>
        <w:ind w:firstLine="211" w:firstLineChars="100"/>
        <w:rPr>
          <w:rFonts w:hint="eastAsia" w:ascii="宋体" w:hAnsi="宋体"/>
          <w:b/>
        </w:rPr>
      </w:pPr>
      <w:r>
        <w:rPr>
          <w:rFonts w:hint="eastAsia" w:ascii="宋体" w:hAnsi="宋体"/>
          <w:b/>
        </w:rPr>
        <w:t>第三章  数据分布特征</w:t>
      </w:r>
    </w:p>
    <w:p w14:paraId="51DA9461">
      <w:pPr>
        <w:ind w:firstLine="480" w:firstLineChars="200"/>
        <w:rPr>
          <w:rFonts w:hint="eastAsia" w:ascii="宋体" w:hAnsi="宋体" w:cs="宋体"/>
          <w:sz w:val="24"/>
          <w:szCs w:val="24"/>
        </w:rPr>
      </w:pPr>
      <w:r>
        <w:rPr>
          <w:rFonts w:hint="eastAsia" w:ascii="宋体" w:hAnsi="宋体" w:cs="宋体"/>
          <w:sz w:val="24"/>
          <w:szCs w:val="24"/>
        </w:rPr>
        <w:t>●数据总体规模的测定</w:t>
      </w:r>
    </w:p>
    <w:p w14:paraId="63F89B7E">
      <w:pPr>
        <w:ind w:firstLine="480" w:firstLineChars="200"/>
        <w:rPr>
          <w:rFonts w:hint="eastAsia" w:ascii="宋体" w:hAnsi="宋体" w:cs="宋体"/>
          <w:sz w:val="24"/>
          <w:szCs w:val="24"/>
        </w:rPr>
      </w:pPr>
      <w:r>
        <w:rPr>
          <w:rFonts w:hint="eastAsia" w:ascii="宋体" w:hAnsi="宋体" w:cs="宋体"/>
          <w:sz w:val="24"/>
          <w:szCs w:val="24"/>
        </w:rPr>
        <w:t>●数据对比关系的测定</w:t>
      </w:r>
    </w:p>
    <w:p w14:paraId="7F987751">
      <w:pPr>
        <w:rPr>
          <w:rFonts w:hint="eastAsia" w:ascii="宋体" w:hAnsi="宋体" w:cs="宋体"/>
          <w:sz w:val="24"/>
          <w:szCs w:val="24"/>
        </w:rPr>
      </w:pPr>
      <w:r>
        <w:rPr>
          <w:rFonts w:hint="eastAsia" w:ascii="宋体" w:hAnsi="宋体" w:cs="宋体"/>
          <w:sz w:val="24"/>
          <w:szCs w:val="24"/>
        </w:rPr>
        <w:t>　　●数据集中趋势的测定</w:t>
      </w:r>
    </w:p>
    <w:p w14:paraId="024D4113">
      <w:pPr>
        <w:ind w:firstLine="480"/>
        <w:rPr>
          <w:rFonts w:hint="eastAsia" w:ascii="宋体" w:hAnsi="宋体" w:cs="宋体"/>
          <w:sz w:val="24"/>
          <w:szCs w:val="24"/>
        </w:rPr>
      </w:pPr>
      <w:r>
        <w:rPr>
          <w:rFonts w:hint="eastAsia" w:ascii="宋体" w:hAnsi="宋体" w:cs="宋体"/>
          <w:sz w:val="24"/>
          <w:szCs w:val="24"/>
        </w:rPr>
        <w:t>●数据离散程度的测定</w:t>
      </w:r>
    </w:p>
    <w:p w14:paraId="00B90674">
      <w:pPr>
        <w:ind w:firstLine="480"/>
        <w:rPr>
          <w:rFonts w:hint="eastAsia" w:ascii="宋体" w:hAnsi="宋体" w:cs="宋体"/>
          <w:sz w:val="24"/>
          <w:szCs w:val="24"/>
        </w:rPr>
      </w:pPr>
      <w:r>
        <w:rPr>
          <w:rFonts w:hint="eastAsia" w:ascii="宋体" w:hAnsi="宋体" w:cs="宋体"/>
          <w:sz w:val="24"/>
          <w:szCs w:val="24"/>
        </w:rPr>
        <w:t>●数据分布形态的测定</w:t>
      </w:r>
    </w:p>
    <w:p w14:paraId="75C5576C">
      <w:pPr>
        <w:autoSpaceDE w:val="0"/>
        <w:autoSpaceDN w:val="0"/>
        <w:adjustRightInd w:val="0"/>
        <w:spacing w:line="400" w:lineRule="exact"/>
        <w:ind w:firstLine="207" w:firstLineChars="98"/>
        <w:rPr>
          <w:rFonts w:hint="eastAsia" w:ascii="宋体" w:hAnsi="宋体"/>
          <w:b/>
        </w:rPr>
      </w:pPr>
      <w:r>
        <w:rPr>
          <w:rFonts w:hint="eastAsia" w:ascii="宋体" w:hAnsi="宋体"/>
          <w:b/>
        </w:rPr>
        <w:t>第四章 统计量及其分布</w:t>
      </w:r>
    </w:p>
    <w:p w14:paraId="5E68CA79">
      <w:pPr>
        <w:ind w:firstLine="480" w:firstLineChars="200"/>
        <w:rPr>
          <w:rFonts w:hint="eastAsia" w:ascii="宋体" w:hAnsi="宋体" w:cs="宋体"/>
          <w:sz w:val="24"/>
          <w:szCs w:val="24"/>
        </w:rPr>
      </w:pPr>
      <w:r>
        <w:rPr>
          <w:rFonts w:hint="eastAsia" w:ascii="宋体" w:hAnsi="宋体" w:cs="宋体"/>
          <w:sz w:val="24"/>
          <w:szCs w:val="24"/>
        </w:rPr>
        <w:t>●总体与样本</w:t>
      </w:r>
    </w:p>
    <w:p w14:paraId="1A96384E">
      <w:pPr>
        <w:ind w:firstLine="480" w:firstLineChars="200"/>
        <w:rPr>
          <w:rFonts w:hint="eastAsia" w:ascii="宋体" w:hAnsi="宋体" w:cs="宋体"/>
          <w:sz w:val="24"/>
          <w:szCs w:val="24"/>
        </w:rPr>
      </w:pPr>
      <w:r>
        <w:rPr>
          <w:rFonts w:hint="eastAsia" w:ascii="宋体" w:hAnsi="宋体" w:cs="宋体"/>
          <w:sz w:val="24"/>
          <w:szCs w:val="24"/>
        </w:rPr>
        <w:t>●统计量与抽样分布</w:t>
      </w:r>
    </w:p>
    <w:p w14:paraId="1BDDA0A9">
      <w:pPr>
        <w:ind w:firstLine="480" w:firstLineChars="200"/>
        <w:rPr>
          <w:rFonts w:hint="eastAsia" w:ascii="宋体" w:hAnsi="宋体" w:cs="宋体"/>
          <w:sz w:val="24"/>
          <w:szCs w:val="24"/>
        </w:rPr>
      </w:pPr>
      <w:r>
        <w:rPr>
          <w:rFonts w:hint="eastAsia" w:ascii="宋体" w:hAnsi="宋体" w:cs="宋体"/>
          <w:sz w:val="24"/>
          <w:szCs w:val="24"/>
        </w:rPr>
        <w:t>●次序统计量及其分布</w:t>
      </w:r>
    </w:p>
    <w:p w14:paraId="4FE998C5">
      <w:pPr>
        <w:autoSpaceDE w:val="0"/>
        <w:autoSpaceDN w:val="0"/>
        <w:adjustRightInd w:val="0"/>
        <w:spacing w:line="400" w:lineRule="exact"/>
        <w:ind w:firstLine="207" w:firstLineChars="98"/>
        <w:rPr>
          <w:rFonts w:hint="eastAsia" w:ascii="宋体" w:hAnsi="宋体"/>
          <w:b/>
        </w:rPr>
      </w:pPr>
      <w:r>
        <w:rPr>
          <w:rFonts w:hint="eastAsia" w:ascii="宋体" w:hAnsi="宋体"/>
          <w:b/>
        </w:rPr>
        <w:t>第五章 参数估计</w:t>
      </w:r>
    </w:p>
    <w:p w14:paraId="62C4202A">
      <w:pPr>
        <w:ind w:firstLine="480" w:firstLineChars="200"/>
        <w:rPr>
          <w:rFonts w:hint="eastAsia" w:ascii="宋体" w:hAnsi="宋体" w:cs="宋体"/>
          <w:sz w:val="24"/>
          <w:szCs w:val="24"/>
        </w:rPr>
      </w:pPr>
      <w:r>
        <w:rPr>
          <w:rFonts w:hint="eastAsia" w:ascii="宋体" w:hAnsi="宋体" w:cs="宋体"/>
          <w:sz w:val="24"/>
          <w:szCs w:val="24"/>
        </w:rPr>
        <w:t>●点估计</w:t>
      </w:r>
    </w:p>
    <w:p w14:paraId="22310FDE">
      <w:pPr>
        <w:ind w:firstLine="480" w:firstLineChars="200"/>
        <w:rPr>
          <w:rFonts w:hint="eastAsia" w:ascii="宋体" w:hAnsi="宋体" w:cs="宋体"/>
          <w:sz w:val="24"/>
          <w:szCs w:val="24"/>
        </w:rPr>
      </w:pPr>
      <w:r>
        <w:rPr>
          <w:rFonts w:hint="eastAsia" w:ascii="宋体" w:hAnsi="宋体" w:cs="宋体"/>
          <w:sz w:val="24"/>
          <w:szCs w:val="24"/>
        </w:rPr>
        <w:t>●一个总体的区间估计</w:t>
      </w:r>
    </w:p>
    <w:p w14:paraId="78579A91">
      <w:pPr>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两个</w:t>
      </w:r>
      <w:r>
        <w:rPr>
          <w:rFonts w:hint="eastAsia" w:ascii="宋体" w:hAnsi="宋体" w:cs="宋体"/>
          <w:sz w:val="24"/>
          <w:szCs w:val="24"/>
        </w:rPr>
        <w:t>总体的区间估计</w:t>
      </w:r>
    </w:p>
    <w:p w14:paraId="30931089">
      <w:pPr>
        <w:ind w:firstLine="480" w:firstLineChars="200"/>
        <w:rPr>
          <w:rFonts w:hint="eastAsia" w:ascii="宋体" w:hAnsi="宋体" w:cs="宋体"/>
          <w:sz w:val="24"/>
          <w:szCs w:val="24"/>
        </w:rPr>
      </w:pPr>
      <w:r>
        <w:rPr>
          <w:rFonts w:hint="eastAsia" w:ascii="宋体" w:hAnsi="宋体" w:cs="宋体"/>
          <w:sz w:val="24"/>
          <w:szCs w:val="24"/>
        </w:rPr>
        <w:t>●样本容量的确定</w:t>
      </w:r>
    </w:p>
    <w:p w14:paraId="4322E77F">
      <w:pPr>
        <w:autoSpaceDE w:val="0"/>
        <w:autoSpaceDN w:val="0"/>
        <w:adjustRightInd w:val="0"/>
        <w:spacing w:line="400" w:lineRule="exact"/>
        <w:ind w:firstLine="207" w:firstLineChars="98"/>
        <w:rPr>
          <w:rFonts w:hint="eastAsia" w:ascii="宋体" w:hAnsi="宋体"/>
          <w:b/>
        </w:rPr>
      </w:pPr>
      <w:r>
        <w:rPr>
          <w:rFonts w:hint="eastAsia" w:ascii="宋体" w:hAnsi="宋体"/>
          <w:b/>
        </w:rPr>
        <w:t>第六章 假设检验</w:t>
      </w:r>
    </w:p>
    <w:p w14:paraId="418E8465">
      <w:pPr>
        <w:ind w:firstLine="480" w:firstLineChars="200"/>
        <w:rPr>
          <w:rFonts w:hint="eastAsia" w:ascii="宋体" w:hAnsi="宋体" w:cs="宋体"/>
          <w:sz w:val="24"/>
          <w:szCs w:val="24"/>
        </w:rPr>
      </w:pPr>
      <w:r>
        <w:rPr>
          <w:rFonts w:hint="eastAsia" w:ascii="宋体" w:hAnsi="宋体" w:cs="宋体"/>
          <w:sz w:val="24"/>
          <w:szCs w:val="24"/>
        </w:rPr>
        <w:t>●假设检验的基本原理</w:t>
      </w:r>
    </w:p>
    <w:p w14:paraId="4261415C">
      <w:pPr>
        <w:ind w:firstLine="480" w:firstLineChars="200"/>
        <w:rPr>
          <w:rFonts w:hint="eastAsia" w:ascii="宋体" w:hAnsi="宋体" w:cs="宋体"/>
          <w:sz w:val="24"/>
          <w:szCs w:val="24"/>
        </w:rPr>
      </w:pPr>
      <w:r>
        <w:rPr>
          <w:rFonts w:hint="eastAsia" w:ascii="宋体" w:hAnsi="宋体" w:cs="宋体"/>
          <w:sz w:val="24"/>
          <w:szCs w:val="24"/>
        </w:rPr>
        <w:t>●一个总体参数的假设检验</w:t>
      </w:r>
    </w:p>
    <w:p w14:paraId="01A4761A">
      <w:pPr>
        <w:ind w:firstLine="480" w:firstLineChars="200"/>
        <w:rPr>
          <w:rFonts w:hint="eastAsia" w:ascii="宋体" w:hAnsi="宋体" w:cs="宋体"/>
          <w:sz w:val="24"/>
          <w:szCs w:val="24"/>
        </w:rPr>
      </w:pPr>
      <w:r>
        <w:rPr>
          <w:rFonts w:hint="eastAsia" w:ascii="宋体" w:hAnsi="宋体" w:cs="宋体"/>
          <w:sz w:val="24"/>
          <w:szCs w:val="24"/>
        </w:rPr>
        <w:t>●两个总体参数的假设检验</w:t>
      </w:r>
    </w:p>
    <w:p w14:paraId="3D42768C">
      <w:pPr>
        <w:autoSpaceDE w:val="0"/>
        <w:autoSpaceDN w:val="0"/>
        <w:adjustRightInd w:val="0"/>
        <w:spacing w:line="400" w:lineRule="exact"/>
        <w:ind w:firstLine="211" w:firstLineChars="100"/>
        <w:rPr>
          <w:rFonts w:hint="eastAsia" w:ascii="宋体" w:hAnsi="宋体"/>
        </w:rPr>
      </w:pPr>
      <w:r>
        <w:rPr>
          <w:rFonts w:hint="eastAsia" w:ascii="宋体" w:hAnsi="宋体"/>
          <w:b/>
        </w:rPr>
        <w:t>第七章 方差分析</w:t>
      </w:r>
    </w:p>
    <w:p w14:paraId="33AD512C">
      <w:pPr>
        <w:ind w:firstLine="480" w:firstLineChars="200"/>
        <w:rPr>
          <w:rFonts w:hint="eastAsia" w:ascii="宋体" w:hAnsi="宋体" w:cs="宋体"/>
          <w:sz w:val="24"/>
          <w:szCs w:val="24"/>
        </w:rPr>
      </w:pPr>
      <w:r>
        <w:rPr>
          <w:rFonts w:hint="eastAsia" w:ascii="宋体" w:hAnsi="宋体" w:cs="宋体"/>
          <w:sz w:val="24"/>
          <w:szCs w:val="24"/>
        </w:rPr>
        <w:t>●方差分析引论</w:t>
      </w:r>
    </w:p>
    <w:p w14:paraId="290BDD6D">
      <w:pPr>
        <w:ind w:firstLine="480" w:firstLineChars="200"/>
        <w:rPr>
          <w:rFonts w:hint="eastAsia" w:ascii="宋体" w:hAnsi="宋体" w:cs="宋体"/>
          <w:sz w:val="24"/>
          <w:szCs w:val="24"/>
        </w:rPr>
      </w:pPr>
      <w:r>
        <w:rPr>
          <w:rFonts w:hint="eastAsia" w:ascii="宋体" w:hAnsi="宋体" w:cs="宋体"/>
          <w:sz w:val="24"/>
          <w:szCs w:val="24"/>
        </w:rPr>
        <w:t>●单因素方差分析</w:t>
      </w:r>
    </w:p>
    <w:p w14:paraId="1F4AEDCC">
      <w:pPr>
        <w:ind w:firstLine="480" w:firstLineChars="200"/>
        <w:rPr>
          <w:rFonts w:hint="eastAsia" w:ascii="宋体" w:hAnsi="宋体" w:cs="宋体"/>
          <w:sz w:val="24"/>
          <w:szCs w:val="24"/>
        </w:rPr>
      </w:pPr>
      <w:r>
        <w:rPr>
          <w:rFonts w:hint="eastAsia" w:ascii="宋体" w:hAnsi="宋体" w:cs="宋体"/>
          <w:sz w:val="24"/>
          <w:szCs w:val="24"/>
        </w:rPr>
        <w:t>●双因素方差分析</w:t>
      </w:r>
    </w:p>
    <w:p w14:paraId="1010E4D5">
      <w:pPr>
        <w:autoSpaceDE w:val="0"/>
        <w:autoSpaceDN w:val="0"/>
        <w:adjustRightInd w:val="0"/>
        <w:spacing w:line="400" w:lineRule="exact"/>
        <w:ind w:firstLine="211" w:firstLineChars="100"/>
        <w:rPr>
          <w:rFonts w:hint="eastAsia" w:ascii="宋体" w:hAnsi="宋体"/>
          <w:b/>
        </w:rPr>
      </w:pPr>
      <w:r>
        <w:rPr>
          <w:rFonts w:hint="eastAsia" w:ascii="宋体" w:hAnsi="宋体"/>
          <w:b/>
        </w:rPr>
        <w:t>第八章  相关与回归分析</w:t>
      </w:r>
    </w:p>
    <w:p w14:paraId="508C0068">
      <w:pPr>
        <w:ind w:firstLine="480" w:firstLineChars="200"/>
        <w:rPr>
          <w:rFonts w:hint="eastAsia" w:ascii="宋体" w:hAnsi="宋体" w:cs="宋体"/>
          <w:sz w:val="24"/>
          <w:szCs w:val="24"/>
        </w:rPr>
      </w:pPr>
      <w:r>
        <w:rPr>
          <w:rFonts w:hint="eastAsia" w:ascii="宋体" w:hAnsi="宋体" w:cs="宋体"/>
          <w:sz w:val="24"/>
          <w:szCs w:val="24"/>
        </w:rPr>
        <w:t>●相关分析</w:t>
      </w:r>
    </w:p>
    <w:p w14:paraId="2F6DFCEC">
      <w:pPr>
        <w:ind w:firstLine="480" w:firstLineChars="200"/>
        <w:rPr>
          <w:rFonts w:hint="eastAsia" w:ascii="宋体" w:hAnsi="宋体" w:cs="宋体"/>
          <w:sz w:val="24"/>
          <w:szCs w:val="24"/>
        </w:rPr>
      </w:pPr>
      <w:r>
        <w:rPr>
          <w:rFonts w:hint="eastAsia" w:ascii="宋体" w:hAnsi="宋体" w:cs="宋体"/>
          <w:sz w:val="24"/>
          <w:szCs w:val="24"/>
        </w:rPr>
        <w:t>●一元线性回归</w:t>
      </w:r>
    </w:p>
    <w:p w14:paraId="5DE2F520">
      <w:pPr>
        <w:ind w:firstLine="480" w:firstLineChars="200"/>
        <w:rPr>
          <w:rFonts w:hint="eastAsia" w:ascii="宋体" w:hAnsi="宋体" w:cs="宋体"/>
          <w:sz w:val="24"/>
          <w:szCs w:val="24"/>
        </w:rPr>
      </w:pPr>
      <w:r>
        <w:rPr>
          <w:rFonts w:hint="eastAsia" w:ascii="宋体" w:hAnsi="宋体" w:cs="宋体"/>
          <w:sz w:val="24"/>
          <w:szCs w:val="24"/>
        </w:rPr>
        <w:t>●多元线性回归</w:t>
      </w:r>
    </w:p>
    <w:p w14:paraId="598CDE03">
      <w:pPr>
        <w:autoSpaceDE w:val="0"/>
        <w:autoSpaceDN w:val="0"/>
        <w:adjustRightInd w:val="0"/>
        <w:spacing w:line="400" w:lineRule="exact"/>
        <w:ind w:firstLine="211" w:firstLineChars="100"/>
        <w:rPr>
          <w:rFonts w:hint="eastAsia" w:ascii="宋体" w:hAnsi="宋体"/>
          <w:b/>
        </w:rPr>
      </w:pPr>
      <w:r>
        <w:rPr>
          <w:rFonts w:hint="eastAsia" w:ascii="宋体" w:hAnsi="宋体"/>
          <w:b/>
        </w:rPr>
        <w:t>第九章  时间序列分析</w:t>
      </w:r>
    </w:p>
    <w:p w14:paraId="271A2DE0">
      <w:pPr>
        <w:ind w:firstLine="480" w:firstLineChars="200"/>
        <w:rPr>
          <w:rFonts w:hint="eastAsia" w:ascii="宋体" w:hAnsi="宋体" w:cs="宋体"/>
          <w:sz w:val="24"/>
          <w:szCs w:val="24"/>
        </w:rPr>
      </w:pPr>
      <w:r>
        <w:rPr>
          <w:rFonts w:hint="eastAsia" w:ascii="宋体" w:hAnsi="宋体" w:cs="宋体"/>
          <w:sz w:val="24"/>
          <w:szCs w:val="24"/>
        </w:rPr>
        <w:t>●时间序列的基本概念</w:t>
      </w:r>
    </w:p>
    <w:p w14:paraId="628C1583">
      <w:pPr>
        <w:ind w:firstLine="480" w:firstLineChars="200"/>
        <w:rPr>
          <w:rFonts w:hint="eastAsia" w:ascii="宋体" w:hAnsi="宋体" w:cs="宋体"/>
          <w:sz w:val="24"/>
          <w:szCs w:val="24"/>
        </w:rPr>
      </w:pPr>
      <w:r>
        <w:rPr>
          <w:rFonts w:hint="eastAsia" w:ascii="宋体" w:hAnsi="宋体" w:cs="宋体"/>
          <w:sz w:val="24"/>
          <w:szCs w:val="24"/>
        </w:rPr>
        <w:t>●时间序列的描述性分析</w:t>
      </w:r>
    </w:p>
    <w:p w14:paraId="4F70DDDD">
      <w:pPr>
        <w:ind w:firstLine="480" w:firstLineChars="200"/>
        <w:rPr>
          <w:rFonts w:hint="eastAsia" w:ascii="宋体" w:hAnsi="宋体" w:cs="宋体"/>
          <w:sz w:val="24"/>
          <w:szCs w:val="24"/>
        </w:rPr>
      </w:pPr>
      <w:r>
        <w:rPr>
          <w:rFonts w:hint="eastAsia" w:ascii="宋体" w:hAnsi="宋体" w:cs="宋体"/>
          <w:sz w:val="24"/>
          <w:szCs w:val="24"/>
        </w:rPr>
        <w:t>●时间序列的预测</w:t>
      </w:r>
    </w:p>
    <w:p w14:paraId="58EC2F43">
      <w:pPr>
        <w:autoSpaceDE w:val="0"/>
        <w:autoSpaceDN w:val="0"/>
        <w:adjustRightInd w:val="0"/>
        <w:spacing w:line="400" w:lineRule="exact"/>
        <w:ind w:firstLine="207" w:firstLineChars="98"/>
        <w:rPr>
          <w:rFonts w:ascii="黑体" w:hAnsi="Verdana" w:eastAsia="黑体"/>
        </w:rPr>
      </w:pPr>
      <w:r>
        <w:rPr>
          <w:rFonts w:hint="eastAsia" w:ascii="宋体" w:hAnsi="宋体"/>
          <w:b/>
        </w:rPr>
        <w:t>第十章  指数分析</w:t>
      </w:r>
    </w:p>
    <w:p w14:paraId="34153314">
      <w:pPr>
        <w:ind w:firstLine="480" w:firstLineChars="200"/>
        <w:rPr>
          <w:rFonts w:hint="eastAsia" w:ascii="宋体" w:hAnsi="宋体" w:cs="宋体"/>
          <w:sz w:val="24"/>
          <w:szCs w:val="24"/>
        </w:rPr>
      </w:pPr>
      <w:r>
        <w:rPr>
          <w:rFonts w:hint="eastAsia" w:ascii="宋体" w:hAnsi="宋体" w:cs="宋体"/>
          <w:sz w:val="24"/>
          <w:szCs w:val="24"/>
        </w:rPr>
        <w:t>●指数的基本概念</w:t>
      </w:r>
    </w:p>
    <w:p w14:paraId="1C734CB8">
      <w:pPr>
        <w:ind w:firstLine="480" w:firstLineChars="200"/>
        <w:rPr>
          <w:rFonts w:hint="eastAsia" w:ascii="宋体" w:hAnsi="宋体" w:cs="宋体"/>
          <w:sz w:val="24"/>
          <w:szCs w:val="24"/>
        </w:rPr>
      </w:pPr>
      <w:r>
        <w:rPr>
          <w:rFonts w:hint="eastAsia" w:ascii="宋体" w:hAnsi="宋体" w:cs="宋体"/>
          <w:sz w:val="24"/>
          <w:szCs w:val="24"/>
        </w:rPr>
        <w:t>●综合指数</w:t>
      </w:r>
    </w:p>
    <w:p w14:paraId="6319699B">
      <w:pPr>
        <w:ind w:firstLine="480" w:firstLineChars="200"/>
        <w:rPr>
          <w:rFonts w:hint="eastAsia" w:ascii="宋体" w:hAnsi="宋体" w:cs="宋体"/>
          <w:sz w:val="24"/>
          <w:szCs w:val="24"/>
        </w:rPr>
      </w:pPr>
      <w:r>
        <w:rPr>
          <w:rFonts w:hint="eastAsia" w:ascii="宋体" w:hAnsi="宋体" w:cs="宋体"/>
          <w:sz w:val="24"/>
          <w:szCs w:val="24"/>
        </w:rPr>
        <w:t>●平均指数</w:t>
      </w:r>
    </w:p>
    <w:p w14:paraId="5DDB62A4">
      <w:pPr>
        <w:ind w:firstLine="480" w:firstLineChars="200"/>
        <w:rPr>
          <w:rFonts w:hint="eastAsia" w:ascii="宋体" w:hAnsi="宋体" w:cs="宋体"/>
          <w:sz w:val="24"/>
          <w:szCs w:val="24"/>
        </w:rPr>
      </w:pPr>
      <w:r>
        <w:rPr>
          <w:rFonts w:hint="eastAsia" w:ascii="宋体" w:hAnsi="宋体" w:cs="宋体"/>
          <w:sz w:val="24"/>
          <w:szCs w:val="24"/>
        </w:rPr>
        <w:t>●指数体系与因素分析</w:t>
      </w:r>
    </w:p>
    <w:p w14:paraId="100B5866">
      <w:pPr>
        <w:rPr>
          <w:rFonts w:hint="eastAsia" w:asciiTheme="minorEastAsia" w:hAnsiTheme="minorEastAsia" w:eastAsiaTheme="minorEastAsia" w:cstheme="minorEastAsia"/>
          <w:sz w:val="24"/>
          <w:szCs w:val="24"/>
        </w:rPr>
      </w:pPr>
    </w:p>
    <w:p w14:paraId="4D504343">
      <w:pPr>
        <w:rPr>
          <w:rFonts w:hint="eastAsia" w:asciiTheme="minorEastAsia" w:hAnsiTheme="minorEastAsia" w:eastAsiaTheme="minorEastAsia" w:cstheme="minorEastAsia"/>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C656">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B215A"/>
    <w:multiLevelType w:val="multilevel"/>
    <w:tmpl w:val="0C6B215A"/>
    <w:lvl w:ilvl="0" w:tentative="0">
      <w:start w:val="5"/>
      <w:numFmt w:val="bullet"/>
      <w:lvlText w:val="▲"/>
      <w:lvlJc w:val="left"/>
      <w:pPr>
        <w:tabs>
          <w:tab w:val="left" w:pos="240"/>
        </w:tabs>
        <w:ind w:left="240" w:hanging="240"/>
      </w:pPr>
      <w:rPr>
        <w:rFonts w:hint="eastAsia" w:ascii="仿宋_GB2312" w:hAnsi="??_GB2312" w:eastAsia="仿宋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E5635F"/>
    <w:rsid w:val="00007A34"/>
    <w:rsid w:val="00012E90"/>
    <w:rsid w:val="00077CA7"/>
    <w:rsid w:val="00081A04"/>
    <w:rsid w:val="000853D7"/>
    <w:rsid w:val="000A6AF5"/>
    <w:rsid w:val="000D066D"/>
    <w:rsid w:val="000E0D65"/>
    <w:rsid w:val="000F2A38"/>
    <w:rsid w:val="000F470F"/>
    <w:rsid w:val="000F4F2B"/>
    <w:rsid w:val="00105EB3"/>
    <w:rsid w:val="001106B8"/>
    <w:rsid w:val="00141A3A"/>
    <w:rsid w:val="00153577"/>
    <w:rsid w:val="00174437"/>
    <w:rsid w:val="00192F1D"/>
    <w:rsid w:val="001930A2"/>
    <w:rsid w:val="001A6802"/>
    <w:rsid w:val="001B40BD"/>
    <w:rsid w:val="001E5EE5"/>
    <w:rsid w:val="00256D98"/>
    <w:rsid w:val="0027160A"/>
    <w:rsid w:val="00273CB6"/>
    <w:rsid w:val="00297BE4"/>
    <w:rsid w:val="002A7BE5"/>
    <w:rsid w:val="002B44E0"/>
    <w:rsid w:val="002C2D63"/>
    <w:rsid w:val="002C74DE"/>
    <w:rsid w:val="002D0566"/>
    <w:rsid w:val="002D0A46"/>
    <w:rsid w:val="0031060A"/>
    <w:rsid w:val="003301BA"/>
    <w:rsid w:val="003457B2"/>
    <w:rsid w:val="00347354"/>
    <w:rsid w:val="00353F1B"/>
    <w:rsid w:val="00363FD7"/>
    <w:rsid w:val="003824FA"/>
    <w:rsid w:val="00390360"/>
    <w:rsid w:val="0039483A"/>
    <w:rsid w:val="003F663E"/>
    <w:rsid w:val="00413DFD"/>
    <w:rsid w:val="00431D05"/>
    <w:rsid w:val="00431E5D"/>
    <w:rsid w:val="0047118E"/>
    <w:rsid w:val="0048698D"/>
    <w:rsid w:val="004930C4"/>
    <w:rsid w:val="004A7B2C"/>
    <w:rsid w:val="00595239"/>
    <w:rsid w:val="005954CE"/>
    <w:rsid w:val="005A567F"/>
    <w:rsid w:val="005B622A"/>
    <w:rsid w:val="005B66D2"/>
    <w:rsid w:val="005E3C0C"/>
    <w:rsid w:val="005F52D2"/>
    <w:rsid w:val="006121B0"/>
    <w:rsid w:val="00612D43"/>
    <w:rsid w:val="0062481D"/>
    <w:rsid w:val="00660F85"/>
    <w:rsid w:val="0067105D"/>
    <w:rsid w:val="00694D31"/>
    <w:rsid w:val="006C51C6"/>
    <w:rsid w:val="006F21B2"/>
    <w:rsid w:val="0070079E"/>
    <w:rsid w:val="007237A3"/>
    <w:rsid w:val="00750BF0"/>
    <w:rsid w:val="00765F1C"/>
    <w:rsid w:val="007713ED"/>
    <w:rsid w:val="007810FE"/>
    <w:rsid w:val="007A7A62"/>
    <w:rsid w:val="007C15F2"/>
    <w:rsid w:val="007D6396"/>
    <w:rsid w:val="007D771B"/>
    <w:rsid w:val="008242AC"/>
    <w:rsid w:val="00827BF5"/>
    <w:rsid w:val="00872E69"/>
    <w:rsid w:val="00893698"/>
    <w:rsid w:val="008A65F5"/>
    <w:rsid w:val="008C05DA"/>
    <w:rsid w:val="008C317C"/>
    <w:rsid w:val="008D1578"/>
    <w:rsid w:val="009001AE"/>
    <w:rsid w:val="0090405F"/>
    <w:rsid w:val="00917DB8"/>
    <w:rsid w:val="00942EF7"/>
    <w:rsid w:val="00944890"/>
    <w:rsid w:val="00946E63"/>
    <w:rsid w:val="009507C3"/>
    <w:rsid w:val="00951098"/>
    <w:rsid w:val="00956FF6"/>
    <w:rsid w:val="00960350"/>
    <w:rsid w:val="00982482"/>
    <w:rsid w:val="009829A1"/>
    <w:rsid w:val="009B3AD3"/>
    <w:rsid w:val="009B5D5C"/>
    <w:rsid w:val="009F5810"/>
    <w:rsid w:val="00A0096E"/>
    <w:rsid w:val="00A2385D"/>
    <w:rsid w:val="00A75BC0"/>
    <w:rsid w:val="00AE5CA3"/>
    <w:rsid w:val="00AF1B35"/>
    <w:rsid w:val="00B06D86"/>
    <w:rsid w:val="00B1427D"/>
    <w:rsid w:val="00B15BA6"/>
    <w:rsid w:val="00B80DF5"/>
    <w:rsid w:val="00BA3D74"/>
    <w:rsid w:val="00BF0B72"/>
    <w:rsid w:val="00C11431"/>
    <w:rsid w:val="00C62020"/>
    <w:rsid w:val="00C970AE"/>
    <w:rsid w:val="00CC6391"/>
    <w:rsid w:val="00CE2E6C"/>
    <w:rsid w:val="00CF1C24"/>
    <w:rsid w:val="00D24587"/>
    <w:rsid w:val="00D41EC0"/>
    <w:rsid w:val="00D52B5B"/>
    <w:rsid w:val="00D55B06"/>
    <w:rsid w:val="00D65DC8"/>
    <w:rsid w:val="00DA27E2"/>
    <w:rsid w:val="00DA717E"/>
    <w:rsid w:val="00DC71F7"/>
    <w:rsid w:val="00E036F2"/>
    <w:rsid w:val="00E102FB"/>
    <w:rsid w:val="00E211DB"/>
    <w:rsid w:val="00E3543B"/>
    <w:rsid w:val="00E41F4D"/>
    <w:rsid w:val="00E4680A"/>
    <w:rsid w:val="00E53E6F"/>
    <w:rsid w:val="00E5635F"/>
    <w:rsid w:val="00E6014A"/>
    <w:rsid w:val="00E66213"/>
    <w:rsid w:val="00E81F51"/>
    <w:rsid w:val="00E9114D"/>
    <w:rsid w:val="00E94DD4"/>
    <w:rsid w:val="00E96354"/>
    <w:rsid w:val="00EB1310"/>
    <w:rsid w:val="00ED3632"/>
    <w:rsid w:val="00ED57AF"/>
    <w:rsid w:val="00EF074F"/>
    <w:rsid w:val="00EF6D5F"/>
    <w:rsid w:val="00F2058C"/>
    <w:rsid w:val="00F243AB"/>
    <w:rsid w:val="00F50026"/>
    <w:rsid w:val="00F86937"/>
    <w:rsid w:val="00FA27B6"/>
    <w:rsid w:val="00FD1125"/>
    <w:rsid w:val="00FD56A0"/>
    <w:rsid w:val="00FE69CE"/>
    <w:rsid w:val="00FF6FCD"/>
    <w:rsid w:val="027F7E38"/>
    <w:rsid w:val="0A2819E4"/>
    <w:rsid w:val="0ECE2147"/>
    <w:rsid w:val="0F2C6AEE"/>
    <w:rsid w:val="10F566F1"/>
    <w:rsid w:val="13CD60E4"/>
    <w:rsid w:val="1C363B5F"/>
    <w:rsid w:val="25420856"/>
    <w:rsid w:val="26D12B41"/>
    <w:rsid w:val="2700666D"/>
    <w:rsid w:val="2A4E7347"/>
    <w:rsid w:val="2E9B5695"/>
    <w:rsid w:val="33520238"/>
    <w:rsid w:val="4C0E0129"/>
    <w:rsid w:val="4C8A2299"/>
    <w:rsid w:val="52727066"/>
    <w:rsid w:val="549113FF"/>
    <w:rsid w:val="559A676A"/>
    <w:rsid w:val="590B6CFB"/>
    <w:rsid w:val="5AAE6965"/>
    <w:rsid w:val="62F639C5"/>
    <w:rsid w:val="66976C44"/>
    <w:rsid w:val="677D5393"/>
    <w:rsid w:val="6A536F28"/>
    <w:rsid w:val="72C16654"/>
    <w:rsid w:val="73ED25B3"/>
    <w:rsid w:val="74940C67"/>
    <w:rsid w:val="76D31E88"/>
    <w:rsid w:val="76E77696"/>
    <w:rsid w:val="7B2C61A7"/>
    <w:rsid w:val="7D2F7F88"/>
    <w:rsid w:val="7D3A2C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apple-converted-space"/>
    <w:basedOn w:val="8"/>
    <w:qFormat/>
    <w:uiPriority w:val="99"/>
  </w:style>
  <w:style w:type="paragraph" w:customStyle="1" w:styleId="11">
    <w:name w:val="列出段落1"/>
    <w:basedOn w:val="1"/>
    <w:autoRedefine/>
    <w:qFormat/>
    <w:uiPriority w:val="99"/>
    <w:pPr>
      <w:ind w:firstLine="420" w:firstLineChars="200"/>
    </w:pPr>
  </w:style>
  <w:style w:type="paragraph" w:customStyle="1" w:styleId="12">
    <w:name w:val="大纲正文"/>
    <w:basedOn w:val="1"/>
    <w:qFormat/>
    <w:uiPriority w:val="99"/>
    <w:pPr>
      <w:spacing w:line="360" w:lineRule="auto"/>
      <w:ind w:firstLine="540" w:firstLineChars="225"/>
    </w:pPr>
    <w:rPr>
      <w:rFonts w:ascii="宋体" w:hAnsi="宋体" w:cs="宋体"/>
      <w:sz w:val="24"/>
      <w:szCs w:val="24"/>
    </w:rPr>
  </w:style>
  <w:style w:type="character" w:customStyle="1" w:styleId="13">
    <w:name w:val="页眉 字符"/>
    <w:basedOn w:val="8"/>
    <w:link w:val="5"/>
    <w:autoRedefine/>
    <w:semiHidden/>
    <w:qFormat/>
    <w:locked/>
    <w:uiPriority w:val="99"/>
    <w:rPr>
      <w:sz w:val="18"/>
      <w:szCs w:val="18"/>
    </w:rPr>
  </w:style>
  <w:style w:type="character" w:customStyle="1" w:styleId="14">
    <w:name w:val="页脚 字符"/>
    <w:basedOn w:val="8"/>
    <w:link w:val="4"/>
    <w:autoRedefine/>
    <w:semiHidden/>
    <w:qFormat/>
    <w:locked/>
    <w:uiPriority w:val="99"/>
    <w:rPr>
      <w:sz w:val="18"/>
      <w:szCs w:val="18"/>
    </w:rPr>
  </w:style>
  <w:style w:type="character" w:customStyle="1" w:styleId="15">
    <w:name w:val="批注文字 字符"/>
    <w:basedOn w:val="8"/>
    <w:link w:val="2"/>
    <w:qFormat/>
    <w:uiPriority w:val="99"/>
    <w:rPr>
      <w:rFonts w:ascii="Calibri" w:hAnsi="Calibri" w:cs="Calibri"/>
      <w:kern w:val="2"/>
      <w:sz w:val="21"/>
      <w:szCs w:val="21"/>
    </w:rPr>
  </w:style>
  <w:style w:type="character" w:customStyle="1" w:styleId="16">
    <w:name w:val="批注主题 字符"/>
    <w:basedOn w:val="15"/>
    <w:link w:val="6"/>
    <w:semiHidden/>
    <w:qFormat/>
    <w:uiPriority w:val="99"/>
    <w:rPr>
      <w:rFonts w:ascii="Calibri" w:hAnsi="Calibri" w:cs="Calibri"/>
      <w:b/>
      <w:bCs/>
      <w:kern w:val="2"/>
      <w:sz w:val="21"/>
      <w:szCs w:val="21"/>
    </w:rPr>
  </w:style>
  <w:style w:type="character" w:customStyle="1" w:styleId="17">
    <w:name w:val="批注框文本 字符"/>
    <w:basedOn w:val="8"/>
    <w:link w:val="3"/>
    <w:autoRedefine/>
    <w:semiHidden/>
    <w:qFormat/>
    <w:uiPriority w:val="99"/>
    <w:rPr>
      <w:rFonts w:ascii="Calibri" w:hAnsi="Calibri" w:cs="Calibri"/>
      <w:kern w:val="2"/>
      <w:sz w:val="18"/>
      <w:szCs w:val="18"/>
    </w:rPr>
  </w:style>
  <w:style w:type="paragraph" w:customStyle="1" w:styleId="18">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2866</Words>
  <Characters>2947</Characters>
  <Lines>24</Lines>
  <Paragraphs>6</Paragraphs>
  <TotalTime>7</TotalTime>
  <ScaleCrop>false</ScaleCrop>
  <LinksUpToDate>false</LinksUpToDate>
  <CharactersWithSpaces>2996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2016-06-08T01:48:00Z</dcterms:created>
  <dc:creator>lzd</dc:creator>
  <cp:lastModifiedBy>Administrator</cp:lastModifiedBy>
  <cp:lastPrinted>2025-06-03T01:57:00Z</cp:lastPrinted>
  <dcterms:modified xsi:type="dcterms:W3CDTF">2025-09-28T01:12:14Z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B5ADF41F0BAC4E6884A049DBF860DA3D_13</vt:lpwstr>
  </property>
  <property fmtid="{D5CDD505-2E9C-101B-9397-08002B2CF9AE}" pid="4" name="KSOTemplateDocerSaveRecord">
    <vt:lpwstr>eyJoZGlkIjoiMjRhMDNhZjFmOTYxYTk2YzAzNTk5NDJiOTdmZTc5MTYifQ==</vt:lpwstr>
  </property>
</Properties>
</file>