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FF7D9">
      <w:pPr>
        <w:adjustRightInd w:val="0"/>
        <w:snapToGrid w:val="0"/>
        <w:jc w:val="center"/>
        <w:rPr>
          <w:rFonts w:hint="eastAsia" w:ascii="宋体" w:hAnsi="宋体" w:cs="宋体"/>
          <w:b/>
          <w:sz w:val="36"/>
          <w:szCs w:val="36"/>
        </w:rPr>
      </w:pPr>
      <w:bookmarkStart w:id="6" w:name="_GoBack"/>
      <w:bookmarkEnd w:id="6"/>
      <w:r>
        <w:rPr>
          <w:rFonts w:hint="eastAsia" w:ascii="宋体" w:hAnsi="宋体" w:cs="宋体"/>
          <w:b/>
          <w:sz w:val="36"/>
          <w:szCs w:val="36"/>
        </w:rPr>
        <w:t>资产评估  025600</w:t>
      </w:r>
    </w:p>
    <w:p w14:paraId="5BB2CC54">
      <w:pPr>
        <w:adjustRightInd w:val="0"/>
        <w:snapToGrid w:val="0"/>
        <w:rPr>
          <w:rFonts w:hint="eastAsia" w:ascii="宋体" w:hAnsi="宋体" w:cs="宋体"/>
          <w:b/>
          <w:sz w:val="24"/>
          <w:szCs w:val="20"/>
        </w:rPr>
      </w:pPr>
    </w:p>
    <w:p w14:paraId="0DC28FA2">
      <w:pPr>
        <w:rPr>
          <w:rFonts w:hint="eastAsia" w:ascii="宋体" w:hAnsi="宋体" w:cs="宋体"/>
          <w:sz w:val="24"/>
          <w:szCs w:val="20"/>
        </w:rPr>
      </w:pPr>
      <w:r>
        <w:rPr>
          <w:rFonts w:hint="eastAsia" w:ascii="宋体" w:hAnsi="宋体" w:cs="宋体"/>
          <w:b/>
          <w:sz w:val="24"/>
          <w:szCs w:val="20"/>
        </w:rPr>
        <w:t>学科点简介：</w:t>
      </w:r>
      <w:r>
        <w:rPr>
          <w:rFonts w:hint="eastAsia" w:ascii="宋体" w:hAnsi="宋体" w:cs="宋体"/>
          <w:sz w:val="24"/>
          <w:szCs w:val="20"/>
        </w:rPr>
        <w:t>资产评估硕士点是广东省级一流专业建设点，为广东省首个资产评估本科人才专业。资产评估专业坚持协同育人培养模式，依托中国资产评估协会和广东省资产评估协会，利用资产评估中介机构的行业资源，形成了校政企协同培养模式。依托国家级实验教学示范中心（经济与管理实验教学中心）开展实验实践教学，拥有国家级和省级大学生校外实践教育基地，与广东省资产评估协会共建了广东省资产评估研究中心。</w:t>
      </w:r>
      <w:r>
        <w:rPr>
          <w:rFonts w:hint="eastAsia" w:ascii="宋体" w:hAnsi="宋体"/>
          <w:color w:val="000000"/>
          <w:sz w:val="24"/>
        </w:rPr>
        <w:t>现有国务院特殊津贴专家1 人，教授11人，副教授24，博士生导师2人，硕士生导师41人。近3年专业教师承担各类科研项目90余</w:t>
      </w:r>
      <w:r>
        <w:rPr>
          <w:rFonts w:hint="eastAsia" w:ascii="宋体" w:hAnsi="宋体" w:cs="宋体"/>
          <w:color w:val="000000"/>
          <w:sz w:val="24"/>
          <w:szCs w:val="20"/>
        </w:rPr>
        <w:t>项，其中国家级和省部级项目30项（含国家社科重大项目1项），各类科研经费700余万元，出版专著、教材、编著5部，在《经济研究》等国内外核心刊物发表学术论文130余篇，获省部级科研奖励3人次，获省部级以上批示（采纳）24项</w:t>
      </w:r>
      <w:r>
        <w:rPr>
          <w:rFonts w:hint="eastAsia" w:ascii="宋体" w:hAnsi="宋体" w:cs="宋体"/>
          <w:sz w:val="24"/>
          <w:szCs w:val="20"/>
        </w:rPr>
        <w:t>。近年来，学院资产评估专业本科生在全国资产评估知识竞赛和行业竞赛中获奖50余人次，45位在校生全科通过资产评估师考试。</w:t>
      </w:r>
    </w:p>
    <w:p w14:paraId="473E8002">
      <w:pPr>
        <w:rPr>
          <w:rFonts w:hint="eastAsia" w:ascii="宋体" w:hAnsi="宋体" w:cs="宋体"/>
          <w:sz w:val="24"/>
          <w:szCs w:val="20"/>
        </w:rPr>
      </w:pPr>
    </w:p>
    <w:p w14:paraId="7B56FA71">
      <w:pPr>
        <w:spacing w:line="360" w:lineRule="exact"/>
        <w:ind w:firstLine="482" w:firstLineChars="200"/>
        <w:rPr>
          <w:rFonts w:hint="eastAsia" w:ascii="宋体" w:hAnsi="宋体" w:cs="宋体"/>
          <w:sz w:val="24"/>
          <w:szCs w:val="20"/>
        </w:rPr>
      </w:pPr>
      <w:r>
        <w:rPr>
          <w:rFonts w:hint="eastAsia" w:ascii="宋体" w:hAnsi="宋体" w:cs="宋体"/>
          <w:b/>
          <w:sz w:val="24"/>
          <w:szCs w:val="20"/>
        </w:rPr>
        <w:t>培养目标：</w:t>
      </w:r>
      <w:r>
        <w:rPr>
          <w:rFonts w:hint="eastAsia" w:ascii="宋体" w:hAnsi="宋体" w:cs="宋体"/>
          <w:sz w:val="24"/>
          <w:szCs w:val="20"/>
        </w:rPr>
        <w:t xml:space="preserve"> 坚持以习近平新时代中国特色社会主义思想为指导，适应数字化趋势和行业要求，紧密围绕粤港澳大湾区对资产评估专业人才的实际需求，重点培养学生在复杂评估项目中解决实际问题的能力，强化职业素养和职业道德，具备较强的职业胜任能力与创新精神，熟悉运用现代评估方法和工具解决实际评估问题，为行业输送具备创新能力和实践操作技能的复合型、应用型人才。</w:t>
      </w:r>
    </w:p>
    <w:p w14:paraId="7004400E">
      <w:pPr>
        <w:rPr>
          <w:rFonts w:hint="eastAsia" w:ascii="宋体" w:hAnsi="宋体" w:cs="宋体"/>
          <w:b/>
          <w:sz w:val="24"/>
          <w:szCs w:val="20"/>
        </w:rPr>
      </w:pPr>
    </w:p>
    <w:p w14:paraId="6F56473F">
      <w:pPr>
        <w:rPr>
          <w:rFonts w:hint="eastAsia" w:ascii="宋体" w:hAnsi="宋体" w:cs="宋体"/>
          <w:sz w:val="24"/>
          <w:szCs w:val="20"/>
        </w:rPr>
      </w:pPr>
      <w:r>
        <w:rPr>
          <w:rFonts w:hint="eastAsia" w:ascii="宋体" w:hAnsi="宋体" w:cs="宋体"/>
          <w:b/>
          <w:sz w:val="24"/>
          <w:szCs w:val="20"/>
        </w:rPr>
        <w:t>主要课程：</w:t>
      </w:r>
      <w:r>
        <w:rPr>
          <w:rFonts w:hint="eastAsia" w:ascii="宋体" w:hAnsi="宋体" w:cs="宋体"/>
        </w:rPr>
        <w:t xml:space="preserve"> </w:t>
      </w:r>
      <w:r>
        <w:rPr>
          <w:rFonts w:hint="eastAsia" w:ascii="宋体" w:hAnsi="宋体" w:cs="宋体"/>
          <w:sz w:val="24"/>
          <w:szCs w:val="20"/>
        </w:rPr>
        <w:t>经济学原理、资产评估理论、中外资产评估准则、财务管理、企业价值评估、房地产估价实务、无形资产评估、</w:t>
      </w:r>
      <w:r>
        <w:rPr>
          <w:rFonts w:hint="eastAsia" w:ascii="宋体" w:hAnsi="宋体" w:eastAsia="宋体" w:cs="宋体"/>
          <w:sz w:val="24"/>
          <w:szCs w:val="20"/>
          <w:lang w:val="en-US" w:eastAsia="zh-CN"/>
        </w:rPr>
        <w:t>数据资产评估、</w:t>
      </w:r>
      <w:r>
        <w:rPr>
          <w:rFonts w:hint="eastAsia" w:ascii="宋体" w:hAnsi="宋体" w:cs="宋体"/>
          <w:sz w:val="24"/>
          <w:szCs w:val="20"/>
        </w:rPr>
        <w:t>财政绩效评价、</w:t>
      </w:r>
      <w:r>
        <w:rPr>
          <w:rFonts w:hint="eastAsia" w:ascii="宋体" w:hAnsi="宋体" w:cs="宋体"/>
          <w:sz w:val="24"/>
          <w:szCs w:val="20"/>
          <w:lang w:val="en-US" w:eastAsia="zh-CN"/>
        </w:rPr>
        <w:t>税基评估</w:t>
      </w:r>
      <w:r>
        <w:rPr>
          <w:rFonts w:hint="eastAsia" w:ascii="宋体" w:hAnsi="宋体" w:cs="宋体"/>
          <w:sz w:val="24"/>
          <w:szCs w:val="20"/>
        </w:rPr>
        <w:t>、机电设备评估、金融资产评估。</w:t>
      </w:r>
    </w:p>
    <w:p w14:paraId="5F1C356D">
      <w:pPr>
        <w:rPr>
          <w:rFonts w:hint="eastAsia" w:ascii="宋体" w:hAnsi="宋体" w:cs="宋体"/>
          <w:sz w:val="24"/>
          <w:szCs w:val="20"/>
        </w:rPr>
      </w:pPr>
    </w:p>
    <w:p w14:paraId="4EF4443F">
      <w:pPr>
        <w:adjustRightInd w:val="0"/>
        <w:snapToGrid w:val="0"/>
        <w:rPr>
          <w:rFonts w:hint="eastAsia" w:ascii="宋体" w:hAnsi="宋体" w:cs="宋体"/>
          <w:sz w:val="24"/>
          <w:szCs w:val="20"/>
        </w:rPr>
      </w:pPr>
      <w:r>
        <w:rPr>
          <w:rFonts w:hint="eastAsia" w:ascii="宋体" w:hAnsi="宋体" w:cs="宋体"/>
          <w:b/>
          <w:sz w:val="24"/>
          <w:szCs w:val="20"/>
        </w:rPr>
        <w:t>就业方向：</w:t>
      </w:r>
      <w:r>
        <w:rPr>
          <w:rFonts w:hint="eastAsia" w:ascii="宋体" w:hAnsi="宋体" w:cs="宋体"/>
          <w:sz w:val="24"/>
          <w:szCs w:val="20"/>
        </w:rPr>
        <w:t>资产评估及相关中介机构、财税部门、政府资产管理部门、金融机构、教学科研单位、大中型企业等，或进一步攻读相关学科的博士研究生。</w:t>
      </w:r>
    </w:p>
    <w:p w14:paraId="0B280278">
      <w:pPr>
        <w:adjustRightInd w:val="0"/>
        <w:snapToGrid w:val="0"/>
        <w:rPr>
          <w:rFonts w:hint="eastAsia" w:ascii="宋体" w:hAnsi="宋体" w:cs="宋体"/>
          <w:sz w:val="24"/>
          <w:szCs w:val="20"/>
        </w:rPr>
      </w:pPr>
    </w:p>
    <w:p w14:paraId="4972CEC3">
      <w:pPr>
        <w:adjustRightInd w:val="0"/>
        <w:snapToGrid w:val="0"/>
        <w:jc w:val="center"/>
        <w:rPr>
          <w:rFonts w:hint="eastAsia" w:ascii="宋体" w:hAnsi="宋体" w:cs="宋体"/>
          <w:b/>
          <w:sz w:val="24"/>
          <w:szCs w:val="20"/>
        </w:rPr>
      </w:pPr>
      <w:r>
        <w:rPr>
          <w:rFonts w:hint="eastAsia" w:ascii="宋体" w:hAnsi="宋体" w:cs="宋体"/>
          <w:b/>
          <w:sz w:val="24"/>
          <w:szCs w:val="20"/>
        </w:rPr>
        <w:t>专业代码：025600                        咨询电话：020-84096158</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32"/>
        <w:gridCol w:w="4008"/>
        <w:gridCol w:w="1800"/>
      </w:tblGrid>
      <w:tr w14:paraId="38C6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9" w:hRule="atLeast"/>
        </w:trPr>
        <w:tc>
          <w:tcPr>
            <w:tcW w:w="828" w:type="dxa"/>
            <w:noWrap w:val="0"/>
            <w:vAlign w:val="center"/>
          </w:tcPr>
          <w:p w14:paraId="6BBE0003">
            <w:pPr>
              <w:jc w:val="center"/>
              <w:rPr>
                <w:rFonts w:hint="eastAsia" w:ascii="宋体" w:hAnsi="宋体" w:cs="宋体"/>
                <w:b/>
                <w:sz w:val="24"/>
              </w:rPr>
            </w:pPr>
            <w:r>
              <w:rPr>
                <w:rFonts w:hint="eastAsia" w:ascii="宋体" w:hAnsi="宋体" w:cs="宋体"/>
                <w:b/>
                <w:sz w:val="24"/>
              </w:rPr>
              <w:t>序号</w:t>
            </w:r>
          </w:p>
        </w:tc>
        <w:tc>
          <w:tcPr>
            <w:tcW w:w="1932" w:type="dxa"/>
            <w:noWrap w:val="0"/>
            <w:vAlign w:val="center"/>
          </w:tcPr>
          <w:p w14:paraId="70F550E4">
            <w:pPr>
              <w:jc w:val="center"/>
              <w:rPr>
                <w:rFonts w:hint="eastAsia" w:ascii="宋体" w:hAnsi="宋体" w:cs="宋体"/>
                <w:b/>
                <w:sz w:val="24"/>
              </w:rPr>
            </w:pPr>
            <w:r>
              <w:rPr>
                <w:rFonts w:hint="eastAsia" w:ascii="宋体" w:hAnsi="宋体" w:cs="宋体"/>
                <w:b/>
                <w:sz w:val="24"/>
              </w:rPr>
              <w:t>研究方向</w:t>
            </w:r>
          </w:p>
        </w:tc>
        <w:tc>
          <w:tcPr>
            <w:tcW w:w="4008" w:type="dxa"/>
            <w:noWrap w:val="0"/>
            <w:vAlign w:val="center"/>
          </w:tcPr>
          <w:p w14:paraId="4F806546">
            <w:pPr>
              <w:jc w:val="center"/>
              <w:rPr>
                <w:rFonts w:hint="eastAsia" w:ascii="宋体" w:hAnsi="宋体" w:cs="宋体"/>
                <w:b/>
                <w:sz w:val="24"/>
              </w:rPr>
            </w:pPr>
            <w:r>
              <w:rPr>
                <w:rFonts w:hint="eastAsia" w:ascii="宋体" w:hAnsi="宋体" w:cs="宋体"/>
                <w:b/>
                <w:sz w:val="24"/>
              </w:rPr>
              <w:t>初试科目</w:t>
            </w:r>
          </w:p>
        </w:tc>
        <w:tc>
          <w:tcPr>
            <w:tcW w:w="1800" w:type="dxa"/>
            <w:noWrap w:val="0"/>
            <w:vAlign w:val="center"/>
          </w:tcPr>
          <w:p w14:paraId="43BE5C6C">
            <w:pPr>
              <w:jc w:val="center"/>
              <w:rPr>
                <w:rFonts w:hint="eastAsia" w:ascii="宋体" w:hAnsi="宋体" w:cs="宋体"/>
                <w:b/>
                <w:sz w:val="24"/>
              </w:rPr>
            </w:pPr>
            <w:r>
              <w:rPr>
                <w:rFonts w:hint="eastAsia" w:ascii="宋体" w:hAnsi="宋体" w:cs="宋体"/>
                <w:b/>
                <w:sz w:val="24"/>
              </w:rPr>
              <w:t>复试科目</w:t>
            </w:r>
          </w:p>
        </w:tc>
      </w:tr>
      <w:tr w14:paraId="46D7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642" w:hRule="atLeast"/>
        </w:trPr>
        <w:tc>
          <w:tcPr>
            <w:tcW w:w="828" w:type="dxa"/>
            <w:noWrap w:val="0"/>
            <w:vAlign w:val="center"/>
          </w:tcPr>
          <w:p w14:paraId="5CF32707">
            <w:pPr>
              <w:jc w:val="center"/>
              <w:rPr>
                <w:rFonts w:hint="eastAsia" w:ascii="宋体" w:hAnsi="宋体" w:cs="宋体"/>
                <w:sz w:val="24"/>
              </w:rPr>
            </w:pPr>
            <w:r>
              <w:rPr>
                <w:rFonts w:hint="eastAsia" w:ascii="宋体" w:hAnsi="宋体" w:cs="宋体"/>
                <w:sz w:val="24"/>
              </w:rPr>
              <w:t>1</w:t>
            </w:r>
          </w:p>
        </w:tc>
        <w:tc>
          <w:tcPr>
            <w:tcW w:w="1932" w:type="dxa"/>
            <w:noWrap w:val="0"/>
            <w:vAlign w:val="center"/>
          </w:tcPr>
          <w:p w14:paraId="2C3BD4D9">
            <w:pPr>
              <w:jc w:val="left"/>
              <w:rPr>
                <w:rFonts w:hint="eastAsia" w:ascii="宋体" w:hAnsi="宋体" w:cs="宋体"/>
                <w:sz w:val="24"/>
                <w:szCs w:val="22"/>
              </w:rPr>
            </w:pPr>
            <w:r>
              <w:rPr>
                <w:rFonts w:hint="eastAsia" w:ascii="宋体" w:hAnsi="宋体" w:cs="宋体"/>
                <w:sz w:val="24"/>
                <w:szCs w:val="22"/>
              </w:rPr>
              <w:t>税基评估</w:t>
            </w:r>
          </w:p>
        </w:tc>
        <w:tc>
          <w:tcPr>
            <w:tcW w:w="4008" w:type="dxa"/>
            <w:vMerge w:val="restart"/>
            <w:noWrap w:val="0"/>
            <w:vAlign w:val="center"/>
          </w:tcPr>
          <w:p w14:paraId="2026DA88">
            <w:pPr>
              <w:adjustRightInd w:val="0"/>
              <w:snapToGrid w:val="0"/>
              <w:rPr>
                <w:rFonts w:hint="eastAsia" w:ascii="宋体" w:hAnsi="宋体" w:cs="宋体"/>
                <w:sz w:val="24"/>
              </w:rPr>
            </w:pPr>
            <w:r>
              <w:rPr>
                <w:rFonts w:hint="eastAsia" w:ascii="宋体" w:hAnsi="宋体" w:cs="宋体"/>
                <w:sz w:val="24"/>
              </w:rPr>
              <w:t>（1）▲思想政治理论（100分）</w:t>
            </w:r>
          </w:p>
          <w:p w14:paraId="5F25896E">
            <w:pPr>
              <w:adjustRightInd w:val="0"/>
              <w:snapToGrid w:val="0"/>
              <w:rPr>
                <w:rFonts w:hint="eastAsia" w:ascii="宋体" w:hAnsi="宋体" w:cs="宋体"/>
                <w:sz w:val="24"/>
              </w:rPr>
            </w:pPr>
            <w:r>
              <w:rPr>
                <w:rFonts w:hint="eastAsia" w:ascii="宋体" w:hAnsi="宋体" w:cs="宋体"/>
                <w:sz w:val="24"/>
              </w:rPr>
              <w:t>（2）▲英语二（100分）</w:t>
            </w:r>
          </w:p>
          <w:p w14:paraId="11A7A98A">
            <w:pPr>
              <w:adjustRightInd w:val="0"/>
              <w:snapToGrid w:val="0"/>
              <w:rPr>
                <w:rFonts w:hint="eastAsia" w:ascii="宋体" w:hAnsi="宋体" w:cs="宋体"/>
                <w:sz w:val="24"/>
              </w:rPr>
            </w:pPr>
            <w:r>
              <w:rPr>
                <w:rFonts w:hint="eastAsia" w:ascii="宋体" w:hAnsi="宋体" w:cs="宋体"/>
                <w:sz w:val="24"/>
              </w:rPr>
              <w:t>（3）▲396经济类综合能力（150分）</w:t>
            </w:r>
          </w:p>
          <w:p w14:paraId="627B735F">
            <w:pPr>
              <w:rPr>
                <w:rFonts w:hint="eastAsia" w:ascii="宋体" w:hAnsi="宋体" w:cs="宋体"/>
                <w:sz w:val="24"/>
              </w:rPr>
            </w:pPr>
            <w:r>
              <w:rPr>
                <w:rFonts w:hint="eastAsia" w:ascii="宋体" w:hAnsi="宋体" w:cs="宋体"/>
                <w:sz w:val="24"/>
              </w:rPr>
              <w:t>（4）资产评估专业基础（150分）</w:t>
            </w:r>
          </w:p>
        </w:tc>
        <w:tc>
          <w:tcPr>
            <w:tcW w:w="1800" w:type="dxa"/>
            <w:vMerge w:val="restart"/>
            <w:noWrap w:val="0"/>
            <w:vAlign w:val="center"/>
          </w:tcPr>
          <w:p w14:paraId="3E4AA1ED">
            <w:pPr>
              <w:rPr>
                <w:rFonts w:hint="eastAsia" w:ascii="宋体" w:hAnsi="宋体" w:cs="宋体"/>
                <w:sz w:val="24"/>
              </w:rPr>
            </w:pPr>
            <w:r>
              <w:rPr>
                <w:rFonts w:hint="eastAsia" w:ascii="宋体" w:hAnsi="宋体" w:cs="宋体"/>
                <w:sz w:val="24"/>
              </w:rPr>
              <w:t>F541-资产评估相关知识（100分）</w:t>
            </w:r>
          </w:p>
        </w:tc>
      </w:tr>
      <w:tr w14:paraId="381E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1" w:hRule="atLeast"/>
        </w:trPr>
        <w:tc>
          <w:tcPr>
            <w:tcW w:w="828" w:type="dxa"/>
            <w:noWrap w:val="0"/>
            <w:vAlign w:val="center"/>
          </w:tcPr>
          <w:p w14:paraId="175427F8">
            <w:pPr>
              <w:jc w:val="center"/>
              <w:rPr>
                <w:rFonts w:hint="eastAsia" w:ascii="宋体" w:hAnsi="宋体" w:cs="宋体"/>
                <w:sz w:val="24"/>
              </w:rPr>
            </w:pPr>
            <w:r>
              <w:rPr>
                <w:rFonts w:hint="eastAsia" w:ascii="宋体" w:hAnsi="宋体" w:cs="宋体"/>
                <w:sz w:val="24"/>
              </w:rPr>
              <w:t>2</w:t>
            </w:r>
          </w:p>
        </w:tc>
        <w:tc>
          <w:tcPr>
            <w:tcW w:w="1932" w:type="dxa"/>
            <w:noWrap w:val="0"/>
            <w:vAlign w:val="center"/>
          </w:tcPr>
          <w:p w14:paraId="0B778CD8">
            <w:pPr>
              <w:jc w:val="left"/>
              <w:rPr>
                <w:rFonts w:hint="eastAsia" w:ascii="宋体" w:hAnsi="宋体" w:cs="宋体"/>
                <w:sz w:val="24"/>
                <w:szCs w:val="22"/>
              </w:rPr>
            </w:pPr>
            <w:r>
              <w:rPr>
                <w:rFonts w:hint="eastAsia" w:ascii="宋体" w:hAnsi="宋体" w:cs="宋体"/>
                <w:sz w:val="24"/>
                <w:szCs w:val="22"/>
              </w:rPr>
              <w:t>房地产估价</w:t>
            </w:r>
          </w:p>
        </w:tc>
        <w:tc>
          <w:tcPr>
            <w:tcW w:w="4008" w:type="dxa"/>
            <w:vMerge w:val="continue"/>
            <w:noWrap w:val="0"/>
            <w:vAlign w:val="center"/>
          </w:tcPr>
          <w:p w14:paraId="58803D1C">
            <w:pPr>
              <w:jc w:val="center"/>
              <w:rPr>
                <w:rFonts w:hint="eastAsia" w:ascii="宋体" w:hAnsi="宋体" w:cs="宋体"/>
                <w:szCs w:val="20"/>
              </w:rPr>
            </w:pPr>
          </w:p>
        </w:tc>
        <w:tc>
          <w:tcPr>
            <w:tcW w:w="1800" w:type="dxa"/>
            <w:vMerge w:val="continue"/>
            <w:noWrap w:val="0"/>
            <w:vAlign w:val="center"/>
          </w:tcPr>
          <w:p w14:paraId="1F043E63">
            <w:pPr>
              <w:jc w:val="center"/>
              <w:rPr>
                <w:rFonts w:hint="eastAsia" w:ascii="宋体" w:hAnsi="宋体" w:cs="宋体"/>
                <w:szCs w:val="20"/>
              </w:rPr>
            </w:pPr>
          </w:p>
        </w:tc>
      </w:tr>
      <w:tr w14:paraId="6931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54" w:hRule="atLeast"/>
        </w:trPr>
        <w:tc>
          <w:tcPr>
            <w:tcW w:w="828" w:type="dxa"/>
            <w:noWrap w:val="0"/>
            <w:vAlign w:val="center"/>
          </w:tcPr>
          <w:p w14:paraId="56FF0BAF">
            <w:pPr>
              <w:jc w:val="center"/>
              <w:rPr>
                <w:rFonts w:hint="eastAsia" w:ascii="宋体" w:hAnsi="宋体" w:cs="宋体"/>
                <w:sz w:val="24"/>
              </w:rPr>
            </w:pPr>
            <w:r>
              <w:rPr>
                <w:rFonts w:hint="eastAsia" w:ascii="宋体" w:hAnsi="宋体" w:cs="宋体"/>
                <w:sz w:val="24"/>
              </w:rPr>
              <w:t>3</w:t>
            </w:r>
          </w:p>
        </w:tc>
        <w:tc>
          <w:tcPr>
            <w:tcW w:w="1932" w:type="dxa"/>
            <w:noWrap w:val="0"/>
            <w:vAlign w:val="center"/>
          </w:tcPr>
          <w:p w14:paraId="5D934770">
            <w:pPr>
              <w:jc w:val="left"/>
              <w:rPr>
                <w:rFonts w:hint="eastAsia" w:ascii="宋体" w:hAnsi="宋体" w:cs="宋体"/>
                <w:sz w:val="24"/>
                <w:szCs w:val="22"/>
              </w:rPr>
            </w:pPr>
            <w:r>
              <w:rPr>
                <w:rFonts w:hint="eastAsia" w:ascii="宋体" w:hAnsi="宋体" w:cs="宋体"/>
                <w:sz w:val="24"/>
                <w:szCs w:val="22"/>
              </w:rPr>
              <w:t>企业价值评估</w:t>
            </w:r>
          </w:p>
        </w:tc>
        <w:tc>
          <w:tcPr>
            <w:tcW w:w="4008" w:type="dxa"/>
            <w:vMerge w:val="continue"/>
            <w:noWrap w:val="0"/>
            <w:vAlign w:val="center"/>
          </w:tcPr>
          <w:p w14:paraId="291C0102">
            <w:pPr>
              <w:jc w:val="center"/>
              <w:rPr>
                <w:rFonts w:hint="eastAsia" w:ascii="宋体" w:hAnsi="宋体" w:cs="宋体"/>
                <w:szCs w:val="20"/>
              </w:rPr>
            </w:pPr>
          </w:p>
        </w:tc>
        <w:tc>
          <w:tcPr>
            <w:tcW w:w="1800" w:type="dxa"/>
            <w:vMerge w:val="continue"/>
            <w:noWrap w:val="0"/>
            <w:vAlign w:val="center"/>
          </w:tcPr>
          <w:p w14:paraId="655967DB">
            <w:pPr>
              <w:jc w:val="center"/>
              <w:rPr>
                <w:rFonts w:hint="eastAsia" w:ascii="宋体" w:hAnsi="宋体" w:cs="宋体"/>
                <w:szCs w:val="20"/>
              </w:rPr>
            </w:pPr>
          </w:p>
        </w:tc>
      </w:tr>
      <w:tr w14:paraId="5058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564" w:hRule="atLeast"/>
        </w:trPr>
        <w:tc>
          <w:tcPr>
            <w:tcW w:w="828" w:type="dxa"/>
            <w:noWrap w:val="0"/>
            <w:vAlign w:val="center"/>
          </w:tcPr>
          <w:p w14:paraId="77FD6CF0">
            <w:pPr>
              <w:jc w:val="center"/>
              <w:rPr>
                <w:rFonts w:hint="eastAsia" w:ascii="宋体" w:hAnsi="宋体" w:cs="宋体"/>
                <w:sz w:val="24"/>
              </w:rPr>
            </w:pPr>
            <w:r>
              <w:rPr>
                <w:rFonts w:hint="eastAsia" w:ascii="宋体" w:hAnsi="宋体" w:cs="宋体"/>
                <w:sz w:val="24"/>
              </w:rPr>
              <w:t>4</w:t>
            </w:r>
          </w:p>
        </w:tc>
        <w:tc>
          <w:tcPr>
            <w:tcW w:w="1932" w:type="dxa"/>
            <w:noWrap w:val="0"/>
            <w:vAlign w:val="center"/>
          </w:tcPr>
          <w:p w14:paraId="5174B248">
            <w:pPr>
              <w:jc w:val="left"/>
              <w:rPr>
                <w:rFonts w:hint="eastAsia" w:ascii="宋体" w:hAnsi="宋体" w:cs="宋体"/>
                <w:sz w:val="24"/>
                <w:szCs w:val="22"/>
              </w:rPr>
            </w:pPr>
            <w:r>
              <w:rPr>
                <w:rFonts w:hint="eastAsia" w:ascii="宋体" w:hAnsi="宋体" w:cs="宋体"/>
                <w:sz w:val="24"/>
                <w:szCs w:val="22"/>
              </w:rPr>
              <w:t>财政绩效评价</w:t>
            </w:r>
          </w:p>
        </w:tc>
        <w:tc>
          <w:tcPr>
            <w:tcW w:w="4008" w:type="dxa"/>
            <w:vMerge w:val="continue"/>
            <w:noWrap w:val="0"/>
            <w:vAlign w:val="center"/>
          </w:tcPr>
          <w:p w14:paraId="37DDE420">
            <w:pPr>
              <w:jc w:val="center"/>
              <w:rPr>
                <w:rFonts w:hint="eastAsia" w:ascii="宋体" w:hAnsi="宋体" w:cs="宋体"/>
                <w:szCs w:val="20"/>
              </w:rPr>
            </w:pPr>
          </w:p>
        </w:tc>
        <w:tc>
          <w:tcPr>
            <w:tcW w:w="1800" w:type="dxa"/>
            <w:vMerge w:val="continue"/>
            <w:noWrap w:val="0"/>
            <w:vAlign w:val="center"/>
          </w:tcPr>
          <w:p w14:paraId="7BCB3C87">
            <w:pPr>
              <w:jc w:val="center"/>
              <w:rPr>
                <w:rFonts w:hint="eastAsia" w:ascii="宋体" w:hAnsi="宋体" w:cs="宋体"/>
                <w:szCs w:val="20"/>
              </w:rPr>
            </w:pPr>
          </w:p>
        </w:tc>
      </w:tr>
    </w:tbl>
    <w:p w14:paraId="0EAA64BF">
      <w:pPr>
        <w:adjustRightInd w:val="0"/>
        <w:snapToGrid w:val="0"/>
        <w:rPr>
          <w:rFonts w:hint="eastAsia" w:ascii="宋体" w:hAnsi="宋体" w:cs="宋体"/>
          <w:b/>
          <w:bCs/>
          <w:szCs w:val="20"/>
        </w:rPr>
      </w:pPr>
      <w:r>
        <w:rPr>
          <w:rFonts w:hint="eastAsia" w:ascii="宋体" w:hAnsi="宋体" w:cs="宋体"/>
          <w:b/>
          <w:bCs/>
          <w:szCs w:val="20"/>
        </w:rPr>
        <w:t>▲</w:t>
      </w:r>
      <w:r>
        <w:rPr>
          <w:rFonts w:hint="eastAsia" w:ascii="宋体" w:hAnsi="宋体" w:cs="宋体"/>
          <w:b/>
          <w:bCs/>
          <w:sz w:val="24"/>
          <w:szCs w:val="20"/>
        </w:rPr>
        <w:t>表示统考科目或联考科目，考试题型、考试大纲以教育部公布为准。其他为自命题科目。</w:t>
      </w:r>
    </w:p>
    <w:p w14:paraId="6C3B80F9">
      <w:pPr>
        <w:snapToGrid w:val="0"/>
        <w:rPr>
          <w:rFonts w:hint="eastAsia" w:ascii="宋体" w:hAnsi="宋体" w:cs="宋体"/>
          <w:b/>
          <w:sz w:val="24"/>
          <w:szCs w:val="20"/>
        </w:rPr>
      </w:pPr>
    </w:p>
    <w:p w14:paraId="50333881">
      <w:pPr>
        <w:snapToGrid w:val="0"/>
        <w:rPr>
          <w:rFonts w:hint="eastAsia" w:ascii="宋体" w:hAnsi="宋体" w:cs="宋体"/>
          <w:b/>
          <w:sz w:val="24"/>
          <w:szCs w:val="20"/>
        </w:rPr>
      </w:pPr>
      <w:r>
        <w:rPr>
          <w:rFonts w:hint="eastAsia" w:ascii="宋体" w:hAnsi="宋体" w:cs="宋体"/>
          <w:b/>
          <w:sz w:val="24"/>
          <w:szCs w:val="20"/>
        </w:rPr>
        <w:br w:type="page"/>
      </w:r>
    </w:p>
    <w:p w14:paraId="3C54CBF0">
      <w:pPr>
        <w:snapToGrid w:val="0"/>
        <w:rPr>
          <w:rFonts w:hint="eastAsia" w:ascii="宋体" w:hAnsi="宋体" w:cs="宋体"/>
          <w:b/>
          <w:sz w:val="24"/>
          <w:szCs w:val="20"/>
        </w:rPr>
      </w:pPr>
      <w:r>
        <w:rPr>
          <w:rFonts w:hint="eastAsia" w:ascii="宋体" w:hAnsi="宋体" w:cs="宋体"/>
          <w:b/>
          <w:sz w:val="24"/>
          <w:szCs w:val="20"/>
        </w:rPr>
        <w:t>考试题型及相应分值：</w:t>
      </w:r>
    </w:p>
    <w:p w14:paraId="4AE56012">
      <w:pPr>
        <w:widowControl/>
        <w:snapToGrid w:val="0"/>
        <w:outlineLvl w:val="0"/>
        <w:rPr>
          <w:rFonts w:hint="eastAsia" w:ascii="宋体" w:hAnsi="宋体" w:cs="宋体"/>
          <w:b/>
          <w:kern w:val="0"/>
          <w:sz w:val="24"/>
          <w:szCs w:val="20"/>
        </w:rPr>
      </w:pPr>
      <w:r>
        <w:rPr>
          <w:rFonts w:hint="eastAsia" w:ascii="宋体" w:hAnsi="宋体" w:cs="宋体"/>
          <w:b/>
          <w:kern w:val="0"/>
          <w:sz w:val="24"/>
          <w:szCs w:val="20"/>
        </w:rPr>
        <w:t>《资产评估专业基础》</w:t>
      </w:r>
    </w:p>
    <w:p w14:paraId="17A6DED2">
      <w:pPr>
        <w:shd w:val="solid" w:color="FFFFFF" w:fill="auto"/>
        <w:autoSpaceDN w:val="0"/>
        <w:adjustRightInd w:val="0"/>
        <w:snapToGrid w:val="0"/>
        <w:rPr>
          <w:rFonts w:hint="eastAsia" w:ascii="宋体" w:hAnsi="宋体" w:cs="宋体"/>
          <w:sz w:val="24"/>
          <w:shd w:val="clear" w:color="auto" w:fill="FFFFFF"/>
        </w:rPr>
      </w:pPr>
      <w:r>
        <w:rPr>
          <w:rFonts w:hint="eastAsia" w:ascii="宋体" w:hAnsi="宋体" w:cs="宋体"/>
          <w:sz w:val="24"/>
          <w:shd w:val="clear" w:color="auto" w:fill="FFFFFF"/>
          <w:lang w:eastAsia="zh-CN"/>
        </w:rPr>
        <w:t>一、</w:t>
      </w:r>
      <w:r>
        <w:rPr>
          <w:rFonts w:hint="eastAsia" w:ascii="宋体" w:hAnsi="宋体" w:cs="宋体"/>
          <w:sz w:val="24"/>
          <w:shd w:val="clear" w:color="auto" w:fill="FFFFFF"/>
        </w:rPr>
        <w:t>选择题（10题，每题1分，共10分）</w:t>
      </w:r>
    </w:p>
    <w:p w14:paraId="29BFD3F2">
      <w:pPr>
        <w:shd w:val="solid" w:color="FFFFFF" w:fill="auto"/>
        <w:autoSpaceDN w:val="0"/>
        <w:adjustRightInd w:val="0"/>
        <w:snapToGrid w:val="0"/>
        <w:rPr>
          <w:rFonts w:hint="eastAsia" w:ascii="宋体" w:hAnsi="宋体" w:cs="宋体"/>
          <w:sz w:val="24"/>
          <w:shd w:val="clear" w:color="auto" w:fill="FFFFFF"/>
        </w:rPr>
      </w:pPr>
      <w:r>
        <w:rPr>
          <w:rFonts w:hint="eastAsia" w:ascii="宋体" w:hAnsi="宋体" w:cs="宋体"/>
          <w:sz w:val="24"/>
          <w:shd w:val="clear" w:color="auto" w:fill="FFFFFF"/>
          <w:lang w:val="en-US" w:eastAsia="zh-CN"/>
        </w:rPr>
        <w:t>二、</w:t>
      </w:r>
      <w:r>
        <w:rPr>
          <w:rFonts w:hint="eastAsia" w:ascii="宋体" w:hAnsi="宋体" w:cs="宋体"/>
          <w:sz w:val="24"/>
          <w:shd w:val="clear" w:color="auto" w:fill="FFFFFF"/>
        </w:rPr>
        <w:t>名词解释（4题，每题5分，共20分）</w:t>
      </w:r>
    </w:p>
    <w:p w14:paraId="28CC4EE0">
      <w:pPr>
        <w:shd w:val="solid" w:color="FFFFFF" w:fill="auto"/>
        <w:autoSpaceDN w:val="0"/>
        <w:adjustRightInd w:val="0"/>
        <w:snapToGrid w:val="0"/>
        <w:rPr>
          <w:rFonts w:hint="eastAsia" w:ascii="宋体" w:hAnsi="宋体" w:cs="宋体"/>
          <w:sz w:val="24"/>
          <w:shd w:val="clear" w:color="auto" w:fill="FFFFFF"/>
        </w:rPr>
      </w:pPr>
      <w:r>
        <w:rPr>
          <w:rFonts w:hint="eastAsia" w:ascii="宋体" w:hAnsi="宋体" w:cs="宋体"/>
          <w:sz w:val="24"/>
          <w:shd w:val="clear" w:color="auto" w:fill="FFFFFF"/>
          <w:lang w:val="en-US" w:eastAsia="zh-CN"/>
        </w:rPr>
        <w:t>三、</w:t>
      </w:r>
      <w:r>
        <w:rPr>
          <w:rFonts w:hint="eastAsia" w:ascii="宋体" w:hAnsi="宋体" w:cs="宋体"/>
          <w:sz w:val="24"/>
          <w:shd w:val="clear" w:color="auto" w:fill="FFFFFF"/>
        </w:rPr>
        <w:t>简答题（5题，每题10分，共50分）</w:t>
      </w:r>
    </w:p>
    <w:p w14:paraId="068F6C56">
      <w:pPr>
        <w:shd w:val="solid" w:color="FFFFFF" w:fill="auto"/>
        <w:autoSpaceDN w:val="0"/>
        <w:adjustRightInd w:val="0"/>
        <w:snapToGrid w:val="0"/>
        <w:rPr>
          <w:rFonts w:hint="eastAsia" w:ascii="宋体" w:hAnsi="宋体" w:cs="宋体"/>
          <w:sz w:val="24"/>
          <w:shd w:val="clear" w:color="auto" w:fill="FFFFFF"/>
        </w:rPr>
      </w:pPr>
      <w:r>
        <w:rPr>
          <w:rFonts w:hint="eastAsia" w:ascii="宋体" w:hAnsi="宋体" w:cs="宋体"/>
          <w:sz w:val="24"/>
          <w:shd w:val="clear" w:color="auto" w:fill="FFFFFF"/>
          <w:lang w:val="en-US" w:eastAsia="zh-CN"/>
        </w:rPr>
        <w:t>四、</w:t>
      </w:r>
      <w:r>
        <w:rPr>
          <w:rFonts w:hint="eastAsia" w:ascii="宋体" w:hAnsi="宋体" w:cs="宋体"/>
          <w:sz w:val="24"/>
          <w:shd w:val="clear" w:color="auto" w:fill="FFFFFF"/>
        </w:rPr>
        <w:t>计算题（3题，每题10分，共30分）</w:t>
      </w:r>
    </w:p>
    <w:p w14:paraId="68149FF8">
      <w:pPr>
        <w:shd w:val="solid" w:color="FFFFFF" w:fill="auto"/>
        <w:autoSpaceDN w:val="0"/>
        <w:adjustRightInd w:val="0"/>
        <w:snapToGrid w:val="0"/>
        <w:rPr>
          <w:rFonts w:hint="eastAsia" w:ascii="宋体" w:hAnsi="宋体" w:cs="宋体"/>
          <w:sz w:val="24"/>
          <w:shd w:val="clear" w:color="auto" w:fill="FFFFFF"/>
        </w:rPr>
      </w:pPr>
      <w:r>
        <w:rPr>
          <w:rFonts w:hint="eastAsia" w:ascii="宋体" w:hAnsi="宋体" w:cs="宋体"/>
          <w:sz w:val="24"/>
          <w:shd w:val="clear" w:color="auto" w:fill="FFFFFF"/>
          <w:lang w:val="en-US" w:eastAsia="zh-CN"/>
        </w:rPr>
        <w:t>五、</w:t>
      </w:r>
      <w:r>
        <w:rPr>
          <w:rFonts w:hint="eastAsia" w:ascii="宋体" w:hAnsi="宋体" w:cs="宋体"/>
          <w:sz w:val="24"/>
          <w:shd w:val="clear" w:color="auto" w:fill="FFFFFF"/>
        </w:rPr>
        <w:t>论述题（2题，每题20分，共40分）</w:t>
      </w:r>
    </w:p>
    <w:p w14:paraId="6CCE2CD1">
      <w:pPr>
        <w:shd w:val="solid" w:color="FFFFFF" w:fill="auto"/>
        <w:autoSpaceDN w:val="0"/>
        <w:adjustRightInd w:val="0"/>
        <w:snapToGrid w:val="0"/>
        <w:rPr>
          <w:rFonts w:hint="eastAsia" w:ascii="宋体" w:hAnsi="宋体" w:cs="宋体"/>
          <w:sz w:val="24"/>
          <w:shd w:val="clear" w:color="auto" w:fill="FFFFFF"/>
        </w:rPr>
      </w:pPr>
    </w:p>
    <w:p w14:paraId="05F71F9D">
      <w:pPr>
        <w:shd w:val="solid" w:color="FFFFFF" w:fill="auto"/>
        <w:autoSpaceDN w:val="0"/>
        <w:adjustRightInd w:val="0"/>
        <w:snapToGrid w:val="0"/>
        <w:rPr>
          <w:rFonts w:hint="eastAsia" w:ascii="宋体" w:hAnsi="宋体" w:cs="宋体"/>
          <w:sz w:val="24"/>
          <w:shd w:val="clear" w:color="auto" w:fill="FFFFFF"/>
        </w:rPr>
      </w:pPr>
      <w:bookmarkStart w:id="0" w:name="_Hlk107355759"/>
      <w:r>
        <w:rPr>
          <w:rFonts w:hint="eastAsia" w:ascii="宋体" w:hAnsi="宋体" w:cs="宋体"/>
          <w:sz w:val="24"/>
          <w:shd w:val="clear" w:color="auto" w:fill="FFFFFF"/>
        </w:rPr>
        <w:t>参考书目：</w:t>
      </w:r>
    </w:p>
    <w:p w14:paraId="3E42DA14">
      <w:pPr>
        <w:shd w:val="solid" w:color="FFFFFF" w:fill="auto"/>
        <w:autoSpaceDN w:val="0"/>
        <w:adjustRightInd w:val="0"/>
        <w:snapToGrid w:val="0"/>
        <w:rPr>
          <w:rFonts w:hint="eastAsia" w:ascii="宋体" w:hAnsi="宋体" w:cs="宋体"/>
          <w:sz w:val="24"/>
          <w:shd w:val="clear" w:color="auto" w:fill="FFFFFF"/>
        </w:rPr>
      </w:pPr>
      <w:r>
        <w:rPr>
          <w:rFonts w:hint="eastAsia" w:ascii="宋体" w:hAnsi="宋体" w:cs="宋体"/>
          <w:sz w:val="24"/>
          <w:shd w:val="clear" w:color="auto" w:fill="FFFFFF"/>
        </w:rPr>
        <w:t>1.</w:t>
      </w:r>
      <w:r>
        <w:rPr>
          <w:rFonts w:hint="eastAsia" w:ascii="宋体" w:hAnsi="宋体" w:cs="宋体"/>
        </w:rPr>
        <w:t xml:space="preserve"> </w:t>
      </w:r>
      <w:r>
        <w:rPr>
          <w:rFonts w:hint="eastAsia" w:ascii="宋体" w:hAnsi="宋体" w:cs="宋体"/>
          <w:sz w:val="24"/>
          <w:shd w:val="clear" w:color="auto" w:fill="FFFFFF"/>
        </w:rPr>
        <w:t>中国资产评估协会编：《资产评估基础》，中国财政经济出版社，202</w:t>
      </w:r>
      <w:r>
        <w:rPr>
          <w:rFonts w:hint="eastAsia" w:ascii="宋体" w:hAnsi="宋体" w:cs="宋体"/>
          <w:sz w:val="24"/>
          <w:shd w:val="clear" w:color="auto" w:fill="FFFFFF"/>
          <w:lang w:val="en-US" w:eastAsia="zh-CN"/>
        </w:rPr>
        <w:t>5</w:t>
      </w:r>
      <w:r>
        <w:rPr>
          <w:rFonts w:hint="eastAsia" w:ascii="宋体" w:hAnsi="宋体" w:cs="宋体"/>
          <w:sz w:val="24"/>
          <w:shd w:val="clear" w:color="auto" w:fill="FFFFFF"/>
        </w:rPr>
        <w:t>年4月</w:t>
      </w:r>
    </w:p>
    <w:p w14:paraId="493CC816">
      <w:pPr>
        <w:shd w:val="solid" w:color="FFFFFF" w:fill="auto"/>
        <w:autoSpaceDN w:val="0"/>
        <w:adjustRightInd w:val="0"/>
        <w:snapToGrid w:val="0"/>
        <w:rPr>
          <w:rFonts w:hint="eastAsia" w:ascii="宋体" w:hAnsi="宋体" w:cs="宋体"/>
          <w:sz w:val="24"/>
          <w:shd w:val="clear" w:color="auto" w:fill="FFFFFF"/>
        </w:rPr>
      </w:pPr>
      <w:r>
        <w:rPr>
          <w:rFonts w:hint="eastAsia" w:ascii="宋体" w:hAnsi="宋体" w:cs="宋体"/>
          <w:sz w:val="24"/>
          <w:shd w:val="clear" w:color="auto" w:fill="FFFFFF"/>
        </w:rPr>
        <w:t>2.</w:t>
      </w:r>
      <w:r>
        <w:rPr>
          <w:rFonts w:hint="eastAsia" w:ascii="宋体" w:hAnsi="宋体" w:cs="宋体"/>
        </w:rPr>
        <w:t xml:space="preserve"> </w:t>
      </w:r>
      <w:r>
        <w:rPr>
          <w:rFonts w:hint="eastAsia" w:ascii="宋体" w:hAnsi="宋体" w:cs="宋体"/>
          <w:sz w:val="24"/>
          <w:shd w:val="clear" w:color="auto" w:fill="FFFFFF"/>
        </w:rPr>
        <w:t>乔志敏、王晓荣：《资产评估学教程》（第</w:t>
      </w:r>
      <w:r>
        <w:rPr>
          <w:rFonts w:hint="eastAsia" w:ascii="宋体" w:hAnsi="宋体" w:cs="宋体"/>
          <w:sz w:val="24"/>
          <w:shd w:val="clear" w:color="auto" w:fill="FFFFFF"/>
          <w:lang w:val="en-US" w:eastAsia="zh-CN"/>
        </w:rPr>
        <w:t>八</w:t>
      </w:r>
      <w:r>
        <w:rPr>
          <w:rFonts w:hint="eastAsia" w:ascii="宋体" w:hAnsi="宋体" w:cs="宋体"/>
          <w:sz w:val="24"/>
          <w:shd w:val="clear" w:color="auto" w:fill="FFFFFF"/>
        </w:rPr>
        <w:t>版），中国人民大学出版社，202</w:t>
      </w:r>
      <w:r>
        <w:rPr>
          <w:rFonts w:hint="eastAsia" w:ascii="宋体" w:hAnsi="宋体" w:cs="宋体"/>
          <w:sz w:val="24"/>
          <w:shd w:val="clear" w:color="auto" w:fill="FFFFFF"/>
          <w:lang w:val="en-US" w:eastAsia="zh-CN"/>
        </w:rPr>
        <w:t>4</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1</w:t>
      </w:r>
      <w:r>
        <w:rPr>
          <w:rFonts w:hint="eastAsia" w:ascii="宋体" w:hAnsi="宋体" w:cs="宋体"/>
          <w:sz w:val="24"/>
          <w:shd w:val="clear" w:color="auto" w:fill="FFFFFF"/>
        </w:rPr>
        <w:t>月</w:t>
      </w:r>
    </w:p>
    <w:bookmarkEnd w:id="0"/>
    <w:p w14:paraId="6B27733E">
      <w:pPr>
        <w:shd w:val="solid" w:color="FFFFFF" w:fill="auto"/>
        <w:autoSpaceDN w:val="0"/>
        <w:adjustRightInd w:val="0"/>
        <w:snapToGrid w:val="0"/>
        <w:rPr>
          <w:rFonts w:hint="eastAsia" w:ascii="宋体" w:hAnsi="宋体" w:cs="宋体"/>
          <w:sz w:val="24"/>
          <w:shd w:val="clear" w:color="auto" w:fill="FFFFFF"/>
        </w:rPr>
      </w:pPr>
    </w:p>
    <w:p w14:paraId="77F3EB3F">
      <w:pPr>
        <w:rPr>
          <w:rFonts w:hint="eastAsia" w:ascii="宋体" w:hAnsi="宋体" w:cs="宋体"/>
          <w:b/>
          <w:sz w:val="24"/>
          <w:szCs w:val="20"/>
        </w:rPr>
      </w:pPr>
      <w:r>
        <w:rPr>
          <w:rFonts w:hint="eastAsia" w:ascii="宋体" w:hAnsi="宋体" w:cs="宋体"/>
          <w:b/>
          <w:sz w:val="24"/>
          <w:szCs w:val="20"/>
        </w:rPr>
        <w:t>《资产评估相关知识》</w:t>
      </w:r>
    </w:p>
    <w:p w14:paraId="2D27C969">
      <w:pPr>
        <w:adjustRightInd w:val="0"/>
        <w:snapToGrid w:val="0"/>
        <w:ind w:firstLine="120" w:firstLineChars="50"/>
        <w:jc w:val="left"/>
        <w:rPr>
          <w:rFonts w:hint="eastAsia" w:ascii="宋体" w:hAnsi="宋体" w:cs="宋体"/>
          <w:sz w:val="24"/>
          <w:szCs w:val="20"/>
        </w:rPr>
      </w:pPr>
      <w:r>
        <w:rPr>
          <w:rFonts w:hint="eastAsia" w:ascii="宋体" w:hAnsi="宋体" w:cs="宋体"/>
          <w:sz w:val="24"/>
          <w:szCs w:val="20"/>
          <w:lang w:val="en-US" w:eastAsia="zh-CN"/>
        </w:rPr>
        <w:t>一、</w:t>
      </w:r>
      <w:r>
        <w:rPr>
          <w:rFonts w:hint="eastAsia" w:ascii="宋体" w:hAnsi="宋体" w:cs="宋体"/>
          <w:sz w:val="24"/>
          <w:szCs w:val="20"/>
        </w:rPr>
        <w:t>材料分析题（3题，每题10分，共30分）</w:t>
      </w:r>
    </w:p>
    <w:p w14:paraId="22CAB69E">
      <w:pPr>
        <w:adjustRightInd w:val="0"/>
        <w:snapToGrid w:val="0"/>
        <w:ind w:firstLine="120" w:firstLineChars="50"/>
        <w:jc w:val="left"/>
        <w:rPr>
          <w:rFonts w:hint="eastAsia" w:ascii="宋体" w:hAnsi="宋体" w:cs="宋体"/>
          <w:sz w:val="24"/>
          <w:szCs w:val="20"/>
        </w:rPr>
      </w:pPr>
      <w:r>
        <w:rPr>
          <w:rFonts w:hint="eastAsia" w:ascii="宋体" w:hAnsi="宋体" w:cs="宋体"/>
          <w:sz w:val="24"/>
          <w:szCs w:val="20"/>
          <w:lang w:val="en-US" w:eastAsia="zh-CN"/>
        </w:rPr>
        <w:t>二、</w:t>
      </w:r>
      <w:r>
        <w:rPr>
          <w:rFonts w:hint="eastAsia" w:ascii="宋体" w:hAnsi="宋体" w:cs="宋体"/>
          <w:sz w:val="24"/>
          <w:szCs w:val="20"/>
        </w:rPr>
        <w:t>计算题（3题，每题10分，共30分）</w:t>
      </w:r>
    </w:p>
    <w:p w14:paraId="11CF98C9">
      <w:pPr>
        <w:adjustRightInd w:val="0"/>
        <w:snapToGrid w:val="0"/>
        <w:ind w:firstLine="120" w:firstLineChars="50"/>
        <w:jc w:val="left"/>
        <w:rPr>
          <w:rFonts w:hint="eastAsia" w:ascii="宋体" w:hAnsi="宋体" w:cs="宋体"/>
          <w:sz w:val="24"/>
          <w:szCs w:val="20"/>
        </w:rPr>
      </w:pPr>
      <w:r>
        <w:rPr>
          <w:rFonts w:hint="eastAsia" w:ascii="宋体" w:hAnsi="宋体" w:cs="宋体"/>
          <w:sz w:val="24"/>
          <w:szCs w:val="20"/>
          <w:lang w:val="en-US" w:eastAsia="zh-CN"/>
        </w:rPr>
        <w:t>三、</w:t>
      </w:r>
      <w:r>
        <w:rPr>
          <w:rFonts w:hint="eastAsia" w:ascii="宋体" w:hAnsi="宋体" w:cs="宋体"/>
          <w:sz w:val="24"/>
          <w:szCs w:val="20"/>
        </w:rPr>
        <w:t>论述题（2题，每题20分，共40分）</w:t>
      </w:r>
    </w:p>
    <w:p w14:paraId="14699405">
      <w:pPr>
        <w:adjustRightInd w:val="0"/>
        <w:snapToGrid w:val="0"/>
        <w:ind w:firstLine="120" w:firstLineChars="50"/>
        <w:jc w:val="left"/>
        <w:rPr>
          <w:rFonts w:hint="eastAsia" w:ascii="宋体" w:hAnsi="宋体" w:cs="宋体"/>
          <w:sz w:val="24"/>
          <w:szCs w:val="20"/>
        </w:rPr>
      </w:pPr>
    </w:p>
    <w:p w14:paraId="051DC928">
      <w:pPr>
        <w:shd w:val="solid" w:color="FFFFFF" w:fill="auto"/>
        <w:autoSpaceDN w:val="0"/>
        <w:adjustRightInd w:val="0"/>
        <w:snapToGrid w:val="0"/>
        <w:rPr>
          <w:rFonts w:ascii="宋体" w:hAnsi="宋体" w:cs="宋体"/>
          <w:sz w:val="24"/>
          <w:shd w:val="clear" w:color="auto" w:fill="FFFFFF"/>
        </w:rPr>
      </w:pPr>
      <w:r>
        <w:rPr>
          <w:rFonts w:hint="eastAsia" w:ascii="宋体" w:hAnsi="宋体" w:cs="宋体"/>
          <w:sz w:val="24"/>
          <w:shd w:val="clear" w:color="auto" w:fill="FFFFFF"/>
        </w:rPr>
        <w:t>参考书目：</w:t>
      </w:r>
    </w:p>
    <w:p w14:paraId="5A825B4A">
      <w:pPr>
        <w:shd w:val="solid" w:color="FFFFFF" w:fill="auto"/>
        <w:autoSpaceDN w:val="0"/>
        <w:adjustRightInd w:val="0"/>
        <w:snapToGrid w:val="0"/>
        <w:rPr>
          <w:rFonts w:hint="eastAsia" w:ascii="宋体" w:hAnsi="宋体" w:cs="宋体"/>
          <w:sz w:val="24"/>
          <w:shd w:val="clear" w:color="auto" w:fill="FFFFFF"/>
        </w:rPr>
      </w:pPr>
      <w:r>
        <w:rPr>
          <w:rFonts w:hint="eastAsia" w:ascii="宋体" w:hAnsi="宋体" w:cs="宋体"/>
          <w:sz w:val="24"/>
          <w:shd w:val="clear" w:color="auto" w:fill="FFFFFF"/>
        </w:rPr>
        <w:t>中国资产评估协会编：《</w:t>
      </w:r>
      <w:r>
        <w:rPr>
          <w:rFonts w:hint="eastAsia" w:ascii="宋体" w:hAnsi="宋体" w:cs="宋体"/>
          <w:b/>
          <w:sz w:val="24"/>
          <w:szCs w:val="20"/>
        </w:rPr>
        <w:t>资产评估相关知识</w:t>
      </w:r>
      <w:r>
        <w:rPr>
          <w:rFonts w:hint="eastAsia" w:ascii="宋体" w:hAnsi="宋体" w:cs="宋体"/>
          <w:sz w:val="24"/>
          <w:shd w:val="clear" w:color="auto" w:fill="FFFFFF"/>
        </w:rPr>
        <w:t>》，中国财政经济出版社，202</w:t>
      </w:r>
      <w:r>
        <w:rPr>
          <w:rFonts w:hint="eastAsia" w:ascii="宋体" w:hAnsi="宋体" w:cs="宋体"/>
          <w:sz w:val="24"/>
          <w:shd w:val="clear" w:color="auto" w:fill="FFFFFF"/>
          <w:lang w:val="en-US" w:eastAsia="zh-CN"/>
        </w:rPr>
        <w:t>5</w:t>
      </w:r>
      <w:r>
        <w:rPr>
          <w:rFonts w:hint="eastAsia" w:ascii="宋体" w:hAnsi="宋体" w:cs="宋体"/>
          <w:sz w:val="24"/>
          <w:shd w:val="clear" w:color="auto" w:fill="FFFFFF"/>
        </w:rPr>
        <w:t>年4月。</w:t>
      </w:r>
    </w:p>
    <w:p w14:paraId="0E02852A">
      <w:pPr>
        <w:shd w:val="solid" w:color="FFFFFF" w:fill="auto"/>
        <w:autoSpaceDN w:val="0"/>
        <w:adjustRightInd w:val="0"/>
        <w:snapToGrid w:val="0"/>
        <w:rPr>
          <w:rFonts w:hint="eastAsia" w:ascii="宋体" w:hAnsi="宋体" w:cs="宋体"/>
          <w:b/>
          <w:sz w:val="24"/>
          <w:szCs w:val="20"/>
        </w:rPr>
      </w:pPr>
    </w:p>
    <w:p w14:paraId="5EE33253">
      <w:pPr>
        <w:adjustRightInd w:val="0"/>
        <w:snapToGrid w:val="0"/>
        <w:rPr>
          <w:rFonts w:hint="eastAsia" w:ascii="宋体" w:hAnsi="宋体" w:cs="宋体"/>
          <w:b/>
          <w:sz w:val="24"/>
          <w:szCs w:val="20"/>
        </w:rPr>
      </w:pPr>
      <w:r>
        <w:rPr>
          <w:rFonts w:hint="eastAsia" w:ascii="宋体" w:hAnsi="宋体" w:cs="宋体"/>
          <w:b/>
          <w:sz w:val="24"/>
          <w:szCs w:val="20"/>
        </w:rPr>
        <w:br w:type="page"/>
      </w:r>
      <w:r>
        <w:rPr>
          <w:rFonts w:hint="eastAsia" w:ascii="宋体" w:hAnsi="宋体" w:cs="宋体"/>
          <w:b/>
          <w:sz w:val="24"/>
          <w:szCs w:val="20"/>
        </w:rPr>
        <w:t>考试大纲</w:t>
      </w:r>
    </w:p>
    <w:p w14:paraId="2C999D47">
      <w:pPr>
        <w:adjustRightInd w:val="0"/>
        <w:snapToGrid w:val="0"/>
        <w:jc w:val="center"/>
        <w:rPr>
          <w:rFonts w:hint="eastAsia" w:ascii="宋体" w:hAnsi="宋体" w:cs="宋体"/>
          <w:b/>
          <w:bCs/>
          <w:kern w:val="0"/>
          <w:sz w:val="24"/>
        </w:rPr>
      </w:pPr>
      <w:r>
        <w:rPr>
          <w:rFonts w:hint="eastAsia" w:ascii="宋体" w:hAnsi="宋体" w:cs="宋体"/>
          <w:b/>
          <w:kern w:val="0"/>
          <w:sz w:val="24"/>
        </w:rPr>
        <w:t xml:space="preserve">    </w:t>
      </w:r>
      <w:r>
        <w:rPr>
          <w:rFonts w:hint="eastAsia" w:ascii="宋体" w:hAnsi="宋体" w:cs="宋体"/>
          <w:b/>
          <w:sz w:val="36"/>
          <w:szCs w:val="21"/>
        </w:rPr>
        <w:t>《资产评估专业基础》</w:t>
      </w:r>
    </w:p>
    <w:p w14:paraId="1F721491">
      <w:pPr>
        <w:adjustRightInd w:val="0"/>
        <w:snapToGrid w:val="0"/>
        <w:rPr>
          <w:rFonts w:hint="eastAsia" w:ascii="宋体" w:hAnsi="宋体" w:cs="宋体"/>
          <w:b/>
          <w:kern w:val="0"/>
          <w:sz w:val="24"/>
        </w:rPr>
      </w:pPr>
    </w:p>
    <w:p w14:paraId="412ABB1D">
      <w:pPr>
        <w:widowControl/>
        <w:snapToGrid w:val="0"/>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主要内容为资产评估基础，包括法律制度与准则，基本事项，评估程序，评估方法，包括成本法、市场法、收益法的模型与应用，评估报告与档案，职业道德与法律责任，国际和国外评估准则；主要资产类型，包括机器设备、房地产、无形资产、流动资产、长期投资以及企业价值的性质、特点、评估模型与方法、评估方法的应用。</w:t>
      </w:r>
    </w:p>
    <w:p w14:paraId="41980E24">
      <w:pPr>
        <w:widowControl/>
        <w:snapToGrid w:val="0"/>
        <w:ind w:firstLine="482" w:firstLineChars="200"/>
        <w:rPr>
          <w:rFonts w:hint="eastAsia" w:ascii="宋体" w:hAnsi="宋体" w:cs="宋体"/>
          <w:b/>
          <w:bCs/>
          <w:sz w:val="24"/>
          <w:shd w:val="clear" w:color="auto" w:fill="FFFFFF"/>
        </w:rPr>
      </w:pPr>
    </w:p>
    <w:p w14:paraId="4D1CC4DE">
      <w:pPr>
        <w:widowControl/>
        <w:jc w:val="left"/>
        <w:outlineLvl w:val="0"/>
        <w:rPr>
          <w:rFonts w:hint="eastAsia" w:ascii="宋体" w:hAnsi="宋体" w:cs="宋体"/>
          <w:b/>
          <w:kern w:val="0"/>
          <w:sz w:val="24"/>
          <w:shd w:val="clear" w:color="auto" w:fill="FFFFFF"/>
        </w:rPr>
      </w:pPr>
      <w:r>
        <w:rPr>
          <w:rFonts w:hint="eastAsia" w:ascii="宋体" w:hAnsi="宋体" w:cs="宋体"/>
          <w:b/>
          <w:kern w:val="0"/>
          <w:sz w:val="24"/>
          <w:shd w:val="clear" w:color="auto" w:fill="FFFFFF"/>
        </w:rPr>
        <w:t>一、资产评估基础</w:t>
      </w:r>
    </w:p>
    <w:p w14:paraId="0D6F1D37">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1.资产评估概述</w:t>
      </w:r>
    </w:p>
    <w:p w14:paraId="2846DFFA">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2.资产评估的基础理论</w:t>
      </w:r>
    </w:p>
    <w:p w14:paraId="376B89C5">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3.资产评估法律制度与准则</w:t>
      </w:r>
    </w:p>
    <w:p w14:paraId="2E936DDB">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4.资产评估基本事项</w:t>
      </w:r>
    </w:p>
    <w:p w14:paraId="591BE408">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5.资产评估程序</w:t>
      </w:r>
    </w:p>
    <w:p w14:paraId="39BF2BDE">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6.资产评估方法</w:t>
      </w:r>
    </w:p>
    <w:p w14:paraId="215E4505">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7.资产评估报告与档案</w:t>
      </w:r>
    </w:p>
    <w:p w14:paraId="01615B95">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8.资产评估的职业道德与法律责任</w:t>
      </w:r>
    </w:p>
    <w:p w14:paraId="2D45DABE">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9.国际和国外评估准则</w:t>
      </w:r>
    </w:p>
    <w:p w14:paraId="74F9E674">
      <w:pPr>
        <w:adjustRightInd w:val="0"/>
        <w:snapToGrid w:val="0"/>
        <w:ind w:firstLine="482" w:firstLineChars="200"/>
        <w:jc w:val="left"/>
        <w:rPr>
          <w:rFonts w:hint="eastAsia" w:ascii="宋体" w:hAnsi="宋体" w:cs="宋体"/>
          <w:b/>
          <w:bCs/>
          <w:sz w:val="24"/>
          <w:shd w:val="clear" w:color="auto" w:fill="FFFFFF"/>
        </w:rPr>
      </w:pPr>
    </w:p>
    <w:p w14:paraId="0B8DA4C7">
      <w:pPr>
        <w:widowControl/>
        <w:jc w:val="left"/>
        <w:outlineLvl w:val="0"/>
        <w:rPr>
          <w:rFonts w:hint="eastAsia" w:ascii="宋体" w:hAnsi="宋体" w:cs="宋体"/>
          <w:b/>
          <w:bCs/>
          <w:sz w:val="24"/>
          <w:shd w:val="clear" w:color="auto" w:fill="FFFFFF"/>
        </w:rPr>
      </w:pPr>
      <w:r>
        <w:rPr>
          <w:rFonts w:hint="eastAsia" w:ascii="宋体" w:hAnsi="宋体" w:cs="宋体"/>
          <w:b/>
          <w:kern w:val="0"/>
          <w:sz w:val="24"/>
          <w:shd w:val="clear" w:color="auto" w:fill="FFFFFF"/>
        </w:rPr>
        <w:t>二、机器设备评估</w:t>
      </w:r>
    </w:p>
    <w:p w14:paraId="1DB71396">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1.机器设备的含义、特点和分类</w:t>
      </w:r>
    </w:p>
    <w:p w14:paraId="0C5E176A">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2.机器设备评估的成本法</w:t>
      </w:r>
    </w:p>
    <w:p w14:paraId="770D5DAD">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3.机器设备评估的市场法</w:t>
      </w:r>
    </w:p>
    <w:p w14:paraId="3B3E0847">
      <w:pPr>
        <w:adjustRightInd w:val="0"/>
        <w:snapToGrid w:val="0"/>
        <w:ind w:firstLine="482" w:firstLineChars="200"/>
        <w:jc w:val="left"/>
        <w:rPr>
          <w:rFonts w:hint="eastAsia" w:ascii="宋体" w:hAnsi="宋体" w:cs="宋体"/>
          <w:b/>
          <w:bCs/>
          <w:sz w:val="24"/>
          <w:shd w:val="clear" w:color="auto" w:fill="FFFFFF"/>
        </w:rPr>
      </w:pPr>
    </w:p>
    <w:p w14:paraId="5D013900">
      <w:pPr>
        <w:widowControl/>
        <w:jc w:val="left"/>
        <w:outlineLvl w:val="0"/>
        <w:rPr>
          <w:rFonts w:hint="eastAsia" w:ascii="宋体" w:hAnsi="宋体" w:cs="宋体"/>
          <w:b/>
          <w:kern w:val="0"/>
          <w:sz w:val="24"/>
          <w:shd w:val="clear" w:color="auto" w:fill="FFFFFF"/>
        </w:rPr>
      </w:pPr>
      <w:r>
        <w:rPr>
          <w:rFonts w:hint="eastAsia" w:ascii="宋体" w:hAnsi="宋体" w:cs="宋体"/>
          <w:b/>
          <w:kern w:val="0"/>
          <w:sz w:val="24"/>
          <w:shd w:val="clear" w:color="auto" w:fill="FFFFFF"/>
        </w:rPr>
        <w:t>三、房地产评估</w:t>
      </w:r>
    </w:p>
    <w:p w14:paraId="7C762DAE">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1.房地产及房地产市场的概念和特征</w:t>
      </w:r>
    </w:p>
    <w:p w14:paraId="58ADC1B8">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2.房地产价格的特性、种类和影响因素</w:t>
      </w:r>
    </w:p>
    <w:p w14:paraId="6D93CF08">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3.房地产评估的成本法</w:t>
      </w:r>
    </w:p>
    <w:p w14:paraId="5F50C544">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4.房地产评估的收益法</w:t>
      </w:r>
    </w:p>
    <w:p w14:paraId="51492BD5">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5.房地产评估的市场法</w:t>
      </w:r>
    </w:p>
    <w:p w14:paraId="4CAB0AA1">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6.房地产评估的假设开发法</w:t>
      </w:r>
    </w:p>
    <w:p w14:paraId="7A0963F3">
      <w:pPr>
        <w:adjustRightInd w:val="0"/>
        <w:snapToGrid w:val="0"/>
        <w:ind w:firstLine="482" w:firstLineChars="200"/>
        <w:jc w:val="left"/>
        <w:rPr>
          <w:rFonts w:hint="eastAsia" w:ascii="宋体" w:hAnsi="宋体" w:cs="宋体"/>
          <w:b/>
          <w:bCs/>
          <w:sz w:val="24"/>
          <w:shd w:val="clear" w:color="auto" w:fill="FFFFFF"/>
        </w:rPr>
      </w:pPr>
    </w:p>
    <w:p w14:paraId="0F0A28BF">
      <w:pPr>
        <w:widowControl/>
        <w:jc w:val="left"/>
        <w:outlineLvl w:val="0"/>
        <w:rPr>
          <w:rFonts w:hint="eastAsia" w:ascii="宋体" w:hAnsi="宋体" w:cs="宋体"/>
          <w:b/>
          <w:kern w:val="0"/>
          <w:sz w:val="24"/>
          <w:shd w:val="clear" w:color="auto" w:fill="FFFFFF"/>
        </w:rPr>
      </w:pPr>
      <w:r>
        <w:rPr>
          <w:rFonts w:hint="eastAsia" w:ascii="宋体" w:hAnsi="宋体" w:cs="宋体"/>
          <w:b/>
          <w:kern w:val="0"/>
          <w:sz w:val="24"/>
          <w:shd w:val="clear" w:color="auto" w:fill="FFFFFF"/>
        </w:rPr>
        <w:t>四、无形资产评估</w:t>
      </w:r>
    </w:p>
    <w:p w14:paraId="56D173C1">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1.无形资产的概念、分类与特点</w:t>
      </w:r>
    </w:p>
    <w:p w14:paraId="3DC264B4">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2.无形资产评估的特点、前提和程序</w:t>
      </w:r>
    </w:p>
    <w:p w14:paraId="65A392B8">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3.无形资产评估的成本法</w:t>
      </w:r>
    </w:p>
    <w:p w14:paraId="0ADA0B60">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4.无形资产评估的收益法</w:t>
      </w:r>
    </w:p>
    <w:p w14:paraId="35608E35">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5.无形资产评估的市场法</w:t>
      </w:r>
    </w:p>
    <w:p w14:paraId="7B3B5C29">
      <w:pPr>
        <w:adjustRightInd w:val="0"/>
        <w:snapToGrid w:val="0"/>
        <w:ind w:firstLine="482" w:firstLineChars="200"/>
        <w:jc w:val="left"/>
        <w:rPr>
          <w:rFonts w:hint="eastAsia" w:ascii="宋体" w:hAnsi="宋体" w:cs="宋体"/>
          <w:b/>
          <w:bCs/>
          <w:sz w:val="24"/>
          <w:shd w:val="clear" w:color="auto" w:fill="FFFFFF"/>
        </w:rPr>
      </w:pPr>
    </w:p>
    <w:p w14:paraId="63B8B682">
      <w:pPr>
        <w:widowControl/>
        <w:jc w:val="left"/>
        <w:outlineLvl w:val="0"/>
        <w:rPr>
          <w:rFonts w:hint="eastAsia" w:ascii="宋体" w:hAnsi="宋体" w:cs="宋体"/>
          <w:b/>
          <w:kern w:val="0"/>
          <w:sz w:val="24"/>
          <w:shd w:val="clear" w:color="auto" w:fill="FFFFFF"/>
        </w:rPr>
      </w:pPr>
      <w:r>
        <w:rPr>
          <w:rFonts w:hint="eastAsia" w:ascii="宋体" w:hAnsi="宋体" w:cs="宋体"/>
          <w:b/>
          <w:kern w:val="0"/>
          <w:sz w:val="24"/>
          <w:shd w:val="clear" w:color="auto" w:fill="FFFFFF"/>
        </w:rPr>
        <w:t>五、流动资产评估</w:t>
      </w:r>
    </w:p>
    <w:p w14:paraId="3EC90895">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1.流动资产评估的概念、特点和程序</w:t>
      </w:r>
    </w:p>
    <w:p w14:paraId="4A30653B">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2.实物类流动资产评估</w:t>
      </w:r>
    </w:p>
    <w:p w14:paraId="0D61BAF6">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3.债权类流动资产评估</w:t>
      </w:r>
    </w:p>
    <w:p w14:paraId="66382757">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4.待摊费用评估</w:t>
      </w:r>
    </w:p>
    <w:p w14:paraId="67B6EC17">
      <w:pPr>
        <w:adjustRightInd w:val="0"/>
        <w:snapToGrid w:val="0"/>
        <w:ind w:firstLine="482" w:firstLineChars="200"/>
        <w:jc w:val="left"/>
        <w:rPr>
          <w:rFonts w:hint="eastAsia" w:ascii="宋体" w:hAnsi="宋体" w:cs="宋体"/>
          <w:b/>
          <w:bCs/>
          <w:sz w:val="24"/>
          <w:shd w:val="clear" w:color="auto" w:fill="FFFFFF"/>
        </w:rPr>
      </w:pPr>
    </w:p>
    <w:p w14:paraId="0008B213">
      <w:pPr>
        <w:widowControl/>
        <w:jc w:val="left"/>
        <w:outlineLvl w:val="0"/>
        <w:rPr>
          <w:rFonts w:hint="eastAsia" w:ascii="宋体" w:hAnsi="宋体" w:cs="宋体"/>
          <w:b/>
          <w:kern w:val="0"/>
          <w:sz w:val="24"/>
          <w:shd w:val="clear" w:color="auto" w:fill="FFFFFF"/>
        </w:rPr>
      </w:pPr>
      <w:r>
        <w:rPr>
          <w:rFonts w:hint="eastAsia" w:ascii="宋体" w:hAnsi="宋体" w:cs="宋体"/>
          <w:b/>
          <w:kern w:val="0"/>
          <w:sz w:val="24"/>
          <w:shd w:val="clear" w:color="auto" w:fill="FFFFFF"/>
        </w:rPr>
        <w:t>六、长期投资评估</w:t>
      </w:r>
    </w:p>
    <w:p w14:paraId="4482D6F0">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1.长期投资评估的概念、特点和程序</w:t>
      </w:r>
    </w:p>
    <w:p w14:paraId="1792A44B">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2.长期债权投资评估</w:t>
      </w:r>
    </w:p>
    <w:p w14:paraId="3AE5E414">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3.长期股权投资评估</w:t>
      </w:r>
    </w:p>
    <w:p w14:paraId="2C4DFE61">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4.长期待摊费用评估</w:t>
      </w:r>
    </w:p>
    <w:p w14:paraId="5A9C0484">
      <w:pPr>
        <w:adjustRightInd w:val="0"/>
        <w:snapToGrid w:val="0"/>
        <w:ind w:firstLine="482" w:firstLineChars="200"/>
        <w:jc w:val="left"/>
        <w:rPr>
          <w:rFonts w:hint="eastAsia" w:ascii="宋体" w:hAnsi="宋体" w:cs="宋体"/>
          <w:b/>
          <w:bCs/>
          <w:sz w:val="24"/>
          <w:shd w:val="clear" w:color="auto" w:fill="FFFFFF"/>
        </w:rPr>
      </w:pPr>
    </w:p>
    <w:p w14:paraId="1F39B764">
      <w:pPr>
        <w:widowControl/>
        <w:jc w:val="left"/>
        <w:outlineLvl w:val="0"/>
        <w:rPr>
          <w:rFonts w:hint="eastAsia" w:ascii="宋体" w:hAnsi="宋体" w:cs="宋体"/>
          <w:b/>
          <w:kern w:val="0"/>
          <w:sz w:val="24"/>
          <w:shd w:val="clear" w:color="auto" w:fill="FFFFFF"/>
        </w:rPr>
      </w:pPr>
      <w:r>
        <w:rPr>
          <w:rFonts w:hint="eastAsia" w:ascii="宋体" w:hAnsi="宋体" w:cs="宋体"/>
          <w:b/>
          <w:kern w:val="0"/>
          <w:sz w:val="24"/>
          <w:shd w:val="clear" w:color="auto" w:fill="FFFFFF"/>
        </w:rPr>
        <w:t>七、企业价值评估</w:t>
      </w:r>
    </w:p>
    <w:p w14:paraId="45696597">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1.企业价值评估的概念、特点、程序与用途</w:t>
      </w:r>
    </w:p>
    <w:p w14:paraId="76599641">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2.企业价值评估的资产基础法</w:t>
      </w:r>
    </w:p>
    <w:p w14:paraId="1CD4E605">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3.企业价值评估的收益法</w:t>
      </w:r>
    </w:p>
    <w:p w14:paraId="7B604C69">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4.企业价值评估的市场法</w:t>
      </w:r>
    </w:p>
    <w:p w14:paraId="3A2DE517">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5.企业价值评估的期权法</w:t>
      </w:r>
    </w:p>
    <w:p w14:paraId="1CF43134">
      <w:pPr>
        <w:adjustRightInd w:val="0"/>
        <w:snapToGrid w:val="0"/>
        <w:jc w:val="both"/>
        <w:rPr>
          <w:rFonts w:hint="eastAsia" w:ascii="宋体" w:hAnsi="宋体" w:cs="宋体"/>
          <w:b/>
          <w:bCs/>
          <w:kern w:val="0"/>
          <w:sz w:val="36"/>
          <w:szCs w:val="36"/>
        </w:rPr>
      </w:pPr>
    </w:p>
    <w:p w14:paraId="4F89B8AE">
      <w:pPr>
        <w:adjustRightInd w:val="0"/>
        <w:snapToGrid w:val="0"/>
        <w:jc w:val="center"/>
        <w:rPr>
          <w:rFonts w:hint="eastAsia" w:ascii="宋体" w:hAnsi="宋体" w:cs="宋体"/>
          <w:b/>
          <w:sz w:val="36"/>
          <w:szCs w:val="21"/>
        </w:rPr>
      </w:pPr>
      <w:r>
        <w:rPr>
          <w:rFonts w:hint="eastAsia" w:ascii="宋体" w:hAnsi="宋体" w:cs="宋体"/>
          <w:b/>
          <w:sz w:val="36"/>
          <w:szCs w:val="21"/>
        </w:rPr>
        <w:t>《资产评估相关知识》</w:t>
      </w:r>
    </w:p>
    <w:p w14:paraId="7D754ECA">
      <w:pPr>
        <w:adjustRightInd w:val="0"/>
        <w:snapToGrid w:val="0"/>
        <w:ind w:firstLine="120" w:firstLineChars="50"/>
        <w:rPr>
          <w:rFonts w:hint="eastAsia" w:ascii="宋体" w:hAnsi="宋体" w:cs="宋体"/>
          <w:b/>
          <w:kern w:val="0"/>
          <w:sz w:val="24"/>
        </w:rPr>
      </w:pPr>
    </w:p>
    <w:p w14:paraId="1BA6F7D6">
      <w:pPr>
        <w:widowControl/>
        <w:ind w:firstLine="482"/>
        <w:jc w:val="left"/>
        <w:rPr>
          <w:rFonts w:hint="eastAsia" w:ascii="宋体" w:hAnsi="宋体" w:cs="宋体"/>
          <w:sz w:val="24"/>
          <w:szCs w:val="20"/>
        </w:rPr>
      </w:pPr>
      <w:r>
        <w:rPr>
          <w:rFonts w:hint="eastAsia" w:ascii="宋体" w:hAnsi="宋体" w:cs="宋体"/>
          <w:sz w:val="24"/>
          <w:szCs w:val="20"/>
        </w:rPr>
        <w:t>主要包括会计知识、财务管理和经济法。会计知识部分需掌握会计基本原理、资产、负债、所有者权益、收入、费用和利润、财务报表、会计政策及其变更、会计估计及其变更、资产负债表日后事项等基本知识和会计处理；财务管理部分需掌握财务管理基础、财务分析、预测与预算、投资管理与方法、筹资与分配管理等；经济法部分需掌握企业法律制度、物权法律制度、金融法律制度、企业国有资产法律制度、税收法律制度。</w:t>
      </w:r>
    </w:p>
    <w:p w14:paraId="1A9021D1">
      <w:pPr>
        <w:widowControl/>
        <w:ind w:firstLine="480"/>
        <w:jc w:val="left"/>
        <w:rPr>
          <w:rFonts w:hint="eastAsia" w:ascii="宋体" w:hAnsi="宋体" w:cs="宋体"/>
          <w:sz w:val="24"/>
          <w:szCs w:val="20"/>
        </w:rPr>
      </w:pPr>
    </w:p>
    <w:p w14:paraId="0E23341F">
      <w:pPr>
        <w:widowControl/>
        <w:jc w:val="left"/>
        <w:outlineLvl w:val="0"/>
        <w:rPr>
          <w:rFonts w:hint="eastAsia" w:ascii="宋体" w:hAnsi="宋体" w:cs="宋体"/>
          <w:b/>
          <w:kern w:val="0"/>
          <w:sz w:val="24"/>
          <w:shd w:val="clear" w:color="auto" w:fill="FFFFFF"/>
        </w:rPr>
      </w:pPr>
      <w:r>
        <w:rPr>
          <w:rFonts w:hint="eastAsia" w:ascii="宋体" w:hAnsi="宋体" w:cs="宋体"/>
          <w:b/>
          <w:kern w:val="0"/>
          <w:sz w:val="24"/>
          <w:shd w:val="clear" w:color="auto" w:fill="FFFFFF"/>
        </w:rPr>
        <w:t xml:space="preserve">一、会计知识 </w:t>
      </w:r>
    </w:p>
    <w:p w14:paraId="579FD137">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1.</w:t>
      </w:r>
      <w:bookmarkStart w:id="1" w:name="_Hlk107360890"/>
      <w:r>
        <w:rPr>
          <w:rFonts w:hint="eastAsia" w:ascii="宋体" w:hAnsi="宋体" w:cs="宋体"/>
          <w:sz w:val="24"/>
          <w:shd w:val="clear" w:color="auto" w:fill="FFFFFF"/>
        </w:rPr>
        <w:t>会计基本原理</w:t>
      </w:r>
    </w:p>
    <w:p w14:paraId="13EF70C3">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2.资产的</w:t>
      </w:r>
      <w:bookmarkStart w:id="2" w:name="_Hlk107360972"/>
      <w:r>
        <w:rPr>
          <w:rFonts w:hint="eastAsia" w:ascii="宋体" w:hAnsi="宋体" w:cs="宋体"/>
          <w:sz w:val="24"/>
          <w:shd w:val="clear" w:color="auto" w:fill="FFFFFF"/>
        </w:rPr>
        <w:t>基本知识和会计处理</w:t>
      </w:r>
      <w:bookmarkEnd w:id="2"/>
    </w:p>
    <w:p w14:paraId="5B52121A">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3.负债的基本知识和会计处理</w:t>
      </w:r>
    </w:p>
    <w:p w14:paraId="2C4F39D4">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4.所有者权益的基本知识和会计处理</w:t>
      </w:r>
    </w:p>
    <w:p w14:paraId="6359AC7E">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5.收入、费用和利润的基本知识和会计处理</w:t>
      </w:r>
    </w:p>
    <w:p w14:paraId="52137CDA">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6.财务报表、会计政策及其变更、会计估计及其变更、资产负债表日后事项</w:t>
      </w:r>
    </w:p>
    <w:p w14:paraId="723E8F32">
      <w:pPr>
        <w:widowControl/>
        <w:jc w:val="left"/>
        <w:rPr>
          <w:rFonts w:hint="eastAsia" w:ascii="宋体" w:hAnsi="宋体" w:cs="宋体"/>
          <w:b/>
          <w:kern w:val="0"/>
          <w:sz w:val="24"/>
          <w:shd w:val="clear" w:color="auto" w:fill="FFFFFF"/>
        </w:rPr>
      </w:pPr>
    </w:p>
    <w:bookmarkEnd w:id="1"/>
    <w:p w14:paraId="511E201A">
      <w:pPr>
        <w:widowControl/>
        <w:jc w:val="left"/>
        <w:outlineLvl w:val="0"/>
        <w:rPr>
          <w:rFonts w:hint="eastAsia" w:ascii="宋体" w:hAnsi="宋体" w:cs="宋体"/>
          <w:b/>
          <w:kern w:val="0"/>
          <w:sz w:val="24"/>
          <w:shd w:val="clear" w:color="auto" w:fill="FFFFFF"/>
        </w:rPr>
      </w:pPr>
      <w:r>
        <w:rPr>
          <w:rFonts w:hint="eastAsia" w:ascii="宋体" w:hAnsi="宋体" w:cs="宋体"/>
          <w:b/>
          <w:kern w:val="0"/>
          <w:sz w:val="24"/>
          <w:shd w:val="clear" w:color="auto" w:fill="FFFFFF"/>
        </w:rPr>
        <w:t>二、</w:t>
      </w:r>
      <w:bookmarkStart w:id="3" w:name="_Hlk107360985"/>
      <w:r>
        <w:rPr>
          <w:rFonts w:hint="eastAsia" w:ascii="宋体" w:hAnsi="宋体" w:cs="宋体"/>
          <w:b/>
          <w:kern w:val="0"/>
          <w:sz w:val="24"/>
          <w:shd w:val="clear" w:color="auto" w:fill="FFFFFF"/>
        </w:rPr>
        <w:t>财务管理</w:t>
      </w:r>
      <w:bookmarkEnd w:id="3"/>
      <w:r>
        <w:rPr>
          <w:rFonts w:hint="eastAsia" w:ascii="宋体" w:hAnsi="宋体" w:cs="宋体"/>
          <w:b/>
          <w:kern w:val="0"/>
          <w:sz w:val="24"/>
          <w:shd w:val="clear" w:color="auto" w:fill="FFFFFF"/>
        </w:rPr>
        <w:t xml:space="preserve"> </w:t>
      </w:r>
    </w:p>
    <w:p w14:paraId="12491C84">
      <w:pPr>
        <w:adjustRightInd w:val="0"/>
        <w:snapToGrid w:val="0"/>
        <w:ind w:firstLine="480" w:firstLineChars="200"/>
        <w:jc w:val="left"/>
        <w:rPr>
          <w:rFonts w:hint="eastAsia" w:ascii="宋体" w:hAnsi="宋体" w:cs="宋体"/>
          <w:sz w:val="24"/>
          <w:shd w:val="clear" w:color="auto" w:fill="FFFFFF"/>
        </w:rPr>
      </w:pPr>
      <w:bookmarkStart w:id="4" w:name="_Hlk107361000"/>
      <w:r>
        <w:rPr>
          <w:rFonts w:hint="eastAsia" w:ascii="宋体" w:hAnsi="宋体" w:cs="宋体"/>
          <w:sz w:val="24"/>
          <w:shd w:val="clear" w:color="auto" w:fill="FFFFFF"/>
        </w:rPr>
        <w:t xml:space="preserve">1.财务管理基础 </w:t>
      </w:r>
    </w:p>
    <w:p w14:paraId="54482134">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2.财务分析的主体、对象、方法、基本财务分析和杜邦分析法</w:t>
      </w:r>
    </w:p>
    <w:p w14:paraId="1E3ACDF0">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 xml:space="preserve">3.预测与预算 </w:t>
      </w:r>
    </w:p>
    <w:p w14:paraId="51CF30D5">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 xml:space="preserve">4.投资管理与方法 </w:t>
      </w:r>
    </w:p>
    <w:p w14:paraId="515055F1">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 xml:space="preserve">5.筹资与分配管理 </w:t>
      </w:r>
    </w:p>
    <w:bookmarkEnd w:id="4"/>
    <w:p w14:paraId="6C403FA3">
      <w:pPr>
        <w:widowControl/>
        <w:jc w:val="left"/>
        <w:rPr>
          <w:rFonts w:hint="eastAsia" w:ascii="宋体" w:hAnsi="宋体" w:cs="宋体"/>
          <w:b/>
          <w:kern w:val="0"/>
          <w:sz w:val="24"/>
          <w:shd w:val="clear" w:color="auto" w:fill="FFFFFF"/>
        </w:rPr>
      </w:pPr>
    </w:p>
    <w:p w14:paraId="75D1A669">
      <w:pPr>
        <w:widowControl/>
        <w:jc w:val="left"/>
        <w:outlineLvl w:val="0"/>
        <w:rPr>
          <w:rFonts w:hint="eastAsia" w:ascii="宋体" w:hAnsi="宋体" w:cs="宋体"/>
          <w:b/>
          <w:kern w:val="0"/>
          <w:sz w:val="24"/>
          <w:shd w:val="clear" w:color="auto" w:fill="FFFFFF"/>
        </w:rPr>
      </w:pPr>
      <w:r>
        <w:rPr>
          <w:rFonts w:hint="eastAsia" w:ascii="宋体" w:hAnsi="宋体" w:cs="宋体"/>
          <w:b/>
          <w:kern w:val="0"/>
          <w:sz w:val="24"/>
          <w:shd w:val="clear" w:color="auto" w:fill="FFFFFF"/>
        </w:rPr>
        <w:t xml:space="preserve">三、经济法 </w:t>
      </w:r>
    </w:p>
    <w:p w14:paraId="548FE2CF">
      <w:pPr>
        <w:adjustRightInd w:val="0"/>
        <w:snapToGrid w:val="0"/>
        <w:ind w:firstLine="480" w:firstLineChars="200"/>
        <w:jc w:val="left"/>
        <w:rPr>
          <w:rFonts w:hint="eastAsia" w:ascii="宋体" w:hAnsi="宋体" w:cs="宋体"/>
          <w:sz w:val="24"/>
          <w:shd w:val="clear" w:color="auto" w:fill="FFFFFF"/>
        </w:rPr>
      </w:pPr>
      <w:bookmarkStart w:id="5" w:name="_Hlk107361101"/>
      <w:r>
        <w:rPr>
          <w:rFonts w:hint="eastAsia" w:ascii="宋体" w:hAnsi="宋体" w:cs="宋体"/>
          <w:sz w:val="24"/>
          <w:shd w:val="clear" w:color="auto" w:fill="FFFFFF"/>
        </w:rPr>
        <w:t xml:space="preserve">1.企业法律制度 </w:t>
      </w:r>
    </w:p>
    <w:p w14:paraId="04B1D187">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2.物权法律制度与运用</w:t>
      </w:r>
    </w:p>
    <w:p w14:paraId="6A49A05C">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 xml:space="preserve">3.金融法律制度与运用 </w:t>
      </w:r>
    </w:p>
    <w:p w14:paraId="63C2CA61">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4.企业国有资产法律制度与运用</w:t>
      </w:r>
    </w:p>
    <w:p w14:paraId="1E24D905">
      <w:pPr>
        <w:adjustRightInd w:val="0"/>
        <w:snapToGrid w:val="0"/>
        <w:ind w:firstLine="480" w:firstLineChars="200"/>
        <w:jc w:val="left"/>
        <w:rPr>
          <w:rFonts w:hint="eastAsia" w:ascii="宋体" w:hAnsi="宋体" w:cs="宋体"/>
          <w:sz w:val="24"/>
          <w:shd w:val="clear" w:color="auto" w:fill="FFFFFF"/>
        </w:rPr>
      </w:pPr>
      <w:r>
        <w:rPr>
          <w:rFonts w:hint="eastAsia" w:ascii="宋体" w:hAnsi="宋体" w:cs="宋体"/>
          <w:sz w:val="24"/>
          <w:shd w:val="clear" w:color="auto" w:fill="FFFFFF"/>
        </w:rPr>
        <w:t>5.税收法律制度与运用</w:t>
      </w:r>
      <w:bookmarkEnd w:id="5"/>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F7C6">
    <w:pPr>
      <w:pStyle w:val="3"/>
      <w:jc w:val="center"/>
    </w:pPr>
    <w:r>
      <w:fldChar w:fldCharType="begin"/>
    </w:r>
    <w:r>
      <w:instrText xml:space="preserve">PAGE   \* MERGEFORMAT</w:instrText>
    </w:r>
    <w:r>
      <w:fldChar w:fldCharType="separate"/>
    </w:r>
    <w:r>
      <w:rPr>
        <w:lang w:val="zh-CN"/>
      </w:rPr>
      <w:t>3</w:t>
    </w:r>
    <w:r>
      <w:fldChar w:fldCharType="end"/>
    </w:r>
  </w:p>
  <w:p w14:paraId="69D71B1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WFiYWM0NDI3NjU1NzI3NTYxNTFiMTA0M2UwODQifQ=="/>
  </w:docVars>
  <w:rsids>
    <w:rsidRoot w:val="002C0024"/>
    <w:rsid w:val="0003216C"/>
    <w:rsid w:val="000426C4"/>
    <w:rsid w:val="0005628A"/>
    <w:rsid w:val="000730AF"/>
    <w:rsid w:val="00095BCD"/>
    <w:rsid w:val="000E1F7D"/>
    <w:rsid w:val="000E483E"/>
    <w:rsid w:val="00113E7C"/>
    <w:rsid w:val="00147E88"/>
    <w:rsid w:val="001569E1"/>
    <w:rsid w:val="00173C64"/>
    <w:rsid w:val="00185A58"/>
    <w:rsid w:val="001F3BAA"/>
    <w:rsid w:val="0020798F"/>
    <w:rsid w:val="00232EAF"/>
    <w:rsid w:val="0025113D"/>
    <w:rsid w:val="00267130"/>
    <w:rsid w:val="00281C62"/>
    <w:rsid w:val="00294A1C"/>
    <w:rsid w:val="002C0024"/>
    <w:rsid w:val="002C65D5"/>
    <w:rsid w:val="00307B07"/>
    <w:rsid w:val="00313823"/>
    <w:rsid w:val="00313B5C"/>
    <w:rsid w:val="00321816"/>
    <w:rsid w:val="0033311E"/>
    <w:rsid w:val="00381316"/>
    <w:rsid w:val="003924A8"/>
    <w:rsid w:val="003B0AE9"/>
    <w:rsid w:val="003B5F8D"/>
    <w:rsid w:val="004533C5"/>
    <w:rsid w:val="0049292D"/>
    <w:rsid w:val="004A1910"/>
    <w:rsid w:val="004F1909"/>
    <w:rsid w:val="0050035D"/>
    <w:rsid w:val="0050149D"/>
    <w:rsid w:val="005834E1"/>
    <w:rsid w:val="00583D05"/>
    <w:rsid w:val="005A4550"/>
    <w:rsid w:val="005A598F"/>
    <w:rsid w:val="005A7E70"/>
    <w:rsid w:val="005B26BF"/>
    <w:rsid w:val="005C41AE"/>
    <w:rsid w:val="00644AD4"/>
    <w:rsid w:val="006638D6"/>
    <w:rsid w:val="006E0D6C"/>
    <w:rsid w:val="006F378E"/>
    <w:rsid w:val="007039AF"/>
    <w:rsid w:val="00787AC3"/>
    <w:rsid w:val="007F7B87"/>
    <w:rsid w:val="00825A64"/>
    <w:rsid w:val="00833A31"/>
    <w:rsid w:val="00851203"/>
    <w:rsid w:val="00864FEC"/>
    <w:rsid w:val="008A6C8B"/>
    <w:rsid w:val="008C0A08"/>
    <w:rsid w:val="00902462"/>
    <w:rsid w:val="00913310"/>
    <w:rsid w:val="00931DD6"/>
    <w:rsid w:val="009416F6"/>
    <w:rsid w:val="00947591"/>
    <w:rsid w:val="009548F0"/>
    <w:rsid w:val="00972744"/>
    <w:rsid w:val="009862FC"/>
    <w:rsid w:val="009930B9"/>
    <w:rsid w:val="009F35F9"/>
    <w:rsid w:val="00AB4BBB"/>
    <w:rsid w:val="00AE1E7D"/>
    <w:rsid w:val="00B010EA"/>
    <w:rsid w:val="00B1427E"/>
    <w:rsid w:val="00B46347"/>
    <w:rsid w:val="00B923E5"/>
    <w:rsid w:val="00BB3DC5"/>
    <w:rsid w:val="00BC66D9"/>
    <w:rsid w:val="00BF3513"/>
    <w:rsid w:val="00C13615"/>
    <w:rsid w:val="00C468D7"/>
    <w:rsid w:val="00C748B5"/>
    <w:rsid w:val="00CA43BE"/>
    <w:rsid w:val="00CF3F96"/>
    <w:rsid w:val="00D20943"/>
    <w:rsid w:val="00D401FD"/>
    <w:rsid w:val="00D65BEF"/>
    <w:rsid w:val="00D94BAA"/>
    <w:rsid w:val="00D96635"/>
    <w:rsid w:val="00DE1A7B"/>
    <w:rsid w:val="00E227BD"/>
    <w:rsid w:val="00E369D3"/>
    <w:rsid w:val="00E55EAD"/>
    <w:rsid w:val="00E64789"/>
    <w:rsid w:val="00E90289"/>
    <w:rsid w:val="00EA251E"/>
    <w:rsid w:val="00EE6A7A"/>
    <w:rsid w:val="00EF6F47"/>
    <w:rsid w:val="00F039CA"/>
    <w:rsid w:val="00F768A9"/>
    <w:rsid w:val="00F7765B"/>
    <w:rsid w:val="00F85527"/>
    <w:rsid w:val="00FA185D"/>
    <w:rsid w:val="052C1B8B"/>
    <w:rsid w:val="08685237"/>
    <w:rsid w:val="12A2091E"/>
    <w:rsid w:val="136D6535"/>
    <w:rsid w:val="13EC1BC1"/>
    <w:rsid w:val="142874B7"/>
    <w:rsid w:val="16715A41"/>
    <w:rsid w:val="18921583"/>
    <w:rsid w:val="1C2D7DEA"/>
    <w:rsid w:val="1C8F6836"/>
    <w:rsid w:val="20E144FE"/>
    <w:rsid w:val="231F3D91"/>
    <w:rsid w:val="29641AA1"/>
    <w:rsid w:val="311E380C"/>
    <w:rsid w:val="335F0ED9"/>
    <w:rsid w:val="363E5114"/>
    <w:rsid w:val="370F1A43"/>
    <w:rsid w:val="39E833DF"/>
    <w:rsid w:val="44532AC7"/>
    <w:rsid w:val="44CC7550"/>
    <w:rsid w:val="473A53F3"/>
    <w:rsid w:val="47F80539"/>
    <w:rsid w:val="49A40175"/>
    <w:rsid w:val="49BC55E8"/>
    <w:rsid w:val="536709FA"/>
    <w:rsid w:val="564E47F9"/>
    <w:rsid w:val="59D76506"/>
    <w:rsid w:val="5D622CA1"/>
    <w:rsid w:val="5F2A6EA6"/>
    <w:rsid w:val="72741BCC"/>
    <w:rsid w:val="745E527D"/>
    <w:rsid w:val="772C162A"/>
    <w:rsid w:val="784E629A"/>
    <w:rsid w:val="7CBC6DDD"/>
    <w:rsid w:val="7F002F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Hyperlink"/>
    <w:unhideWhenUsed/>
    <w:uiPriority w:val="99"/>
    <w:rPr>
      <w:color w:val="0000FF"/>
      <w:u w:val="single"/>
    </w:rPr>
  </w:style>
  <w:style w:type="character" w:customStyle="1" w:styleId="10">
    <w:name w:val="页脚 字符"/>
    <w:link w:val="3"/>
    <w:uiPriority w:val="99"/>
    <w:rPr>
      <w:kern w:val="2"/>
      <w:sz w:val="18"/>
      <w:szCs w:val="18"/>
    </w:rPr>
  </w:style>
  <w:style w:type="character" w:customStyle="1" w:styleId="11">
    <w:name w:val="页眉 字符"/>
    <w:link w:val="4"/>
    <w:uiPriority w:val="0"/>
    <w:rPr>
      <w:kern w:val="2"/>
      <w:sz w:val="18"/>
      <w:szCs w:val="18"/>
    </w:rPr>
  </w:style>
  <w:style w:type="paragraph" w:styleId="12">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2329</Words>
  <Characters>2463</Characters>
  <Lines>115</Lines>
  <Paragraphs>130</Paragraphs>
  <TotalTime>7</TotalTime>
  <ScaleCrop>false</ScaleCrop>
  <LinksUpToDate>false</LinksUpToDate>
  <CharactersWithSpaces>2507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2011-07-06T09:02:00Z</dcterms:created>
  <dc:creator>Lenovo User</dc:creator>
  <cp:lastModifiedBy>Administrator</cp:lastModifiedBy>
  <cp:lastPrinted>2025-06-03T02:43:36Z</cp:lastPrinted>
  <dcterms:modified xsi:type="dcterms:W3CDTF">2025-09-28T01:07:25Z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B4E5C64A026A49AE9BE4C4F79356855D_13</vt:lpwstr>
  </property>
  <property fmtid="{D5CDD505-2E9C-101B-9397-08002B2CF9AE}" pid="4" name="KSOTemplateDocerSaveRecord">
    <vt:lpwstr>eyJoZGlkIjoiMjRhMDNhZjFmOTYxYTk2YzAzNTk5NDJiOTdmZTc5MTYifQ==</vt:lpwstr>
  </property>
</Properties>
</file>