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5C2A1">
      <w:pPr>
        <w:adjustRightInd w:val="0"/>
        <w:snapToGrid w:val="0"/>
        <w:jc w:val="center"/>
        <w:rPr>
          <w:rFonts w:eastAsia="黑体"/>
          <w:b/>
          <w:color w:val="000000"/>
          <w:sz w:val="36"/>
          <w:szCs w:val="36"/>
        </w:rPr>
      </w:pPr>
      <w:bookmarkStart w:id="2" w:name="_GoBack"/>
      <w:bookmarkEnd w:id="2"/>
      <w:r>
        <w:rPr>
          <w:rFonts w:hint="eastAsia" w:ascii="黑体" w:hAnsi="黑体" w:eastAsia="黑体" w:cs="黑体"/>
          <w:b/>
          <w:color w:val="000000"/>
          <w:sz w:val="36"/>
          <w:szCs w:val="36"/>
        </w:rPr>
        <w:t>会计硕士</w:t>
      </w:r>
      <w:r>
        <w:rPr>
          <w:rFonts w:eastAsia="黑体"/>
          <w:b/>
          <w:color w:val="000000"/>
          <w:sz w:val="36"/>
          <w:szCs w:val="36"/>
        </w:rPr>
        <w:t>125300</w:t>
      </w:r>
    </w:p>
    <w:p w14:paraId="6F2973E9">
      <w:pPr>
        <w:adjustRightInd w:val="0"/>
        <w:snapToGrid w:val="0"/>
        <w:ind w:firstLine="472" w:firstLineChars="196"/>
        <w:rPr>
          <w:rFonts w:ascii="宋体" w:hAnsi="宋体"/>
          <w:b/>
          <w:sz w:val="24"/>
          <w:szCs w:val="20"/>
        </w:rPr>
      </w:pPr>
    </w:p>
    <w:p w14:paraId="6156F69B">
      <w:pPr>
        <w:rPr>
          <w:rFonts w:ascii="宋体" w:hAnsi="宋体" w:cs="宋体"/>
          <w:sz w:val="24"/>
        </w:rPr>
      </w:pPr>
      <w:r>
        <w:rPr>
          <w:rFonts w:hint="eastAsia" w:ascii="宋体" w:hAnsi="宋体"/>
          <w:b/>
          <w:sz w:val="24"/>
          <w:szCs w:val="20"/>
        </w:rPr>
        <w:t>学科点简介:</w:t>
      </w:r>
      <w:r>
        <w:rPr>
          <w:rFonts w:hint="eastAsia"/>
        </w:rPr>
        <w:t xml:space="preserve"> </w:t>
      </w:r>
      <w:r>
        <w:rPr>
          <w:rFonts w:hint="eastAsia" w:ascii="宋体" w:hAnsi="宋体"/>
          <w:color w:val="000000"/>
          <w:sz w:val="24"/>
          <w:lang w:eastAsia="zh-Hans"/>
        </w:rPr>
        <w:t>广东财经大学</w:t>
      </w:r>
      <w:r>
        <w:rPr>
          <w:rFonts w:hint="eastAsia" w:ascii="宋体" w:hAnsi="宋体"/>
          <w:color w:val="000000"/>
          <w:sz w:val="24"/>
        </w:rPr>
        <w:t>会计学院/智能财会管理学院</w:t>
      </w:r>
      <w:r>
        <w:rPr>
          <w:rFonts w:hint="eastAsia" w:ascii="宋体" w:hAnsi="宋体"/>
          <w:color w:val="000000"/>
          <w:sz w:val="24"/>
          <w:lang w:eastAsia="zh-Hans"/>
        </w:rPr>
        <w:t>是广东财经大学设立最早的教学单位之一，前身为成立</w:t>
      </w:r>
      <w:r>
        <w:rPr>
          <w:sz w:val="24"/>
        </w:rPr>
        <w:t>于1983年的会计教研室，1985年成立会计系，1999年更名为会计学院</w:t>
      </w:r>
      <w:r>
        <w:rPr>
          <w:rFonts w:hint="eastAsia"/>
          <w:sz w:val="24"/>
        </w:rPr>
        <w:t>，</w:t>
      </w:r>
      <w:r>
        <w:rPr>
          <w:sz w:val="24"/>
        </w:rPr>
        <w:t>为适应新一轮科技革命和产业变革要求，学校于2021年在佛山校区设立智能财会管理学院</w:t>
      </w:r>
      <w:r>
        <w:rPr>
          <w:rFonts w:hint="eastAsia"/>
          <w:sz w:val="24"/>
        </w:rPr>
        <w:t>，2024年整合为会计学院/智能财会管理学院</w:t>
      </w:r>
      <w:r>
        <w:rPr>
          <w:sz w:val="24"/>
        </w:rPr>
        <w:t>。</w:t>
      </w:r>
      <w:r>
        <w:rPr>
          <w:rFonts w:hint="eastAsia"/>
          <w:sz w:val="24"/>
        </w:rPr>
        <w:t>学院</w:t>
      </w:r>
      <w:r>
        <w:rPr>
          <w:rFonts w:hint="eastAsia" w:ascii="宋体" w:hAnsi="宋体" w:cs="宋体"/>
          <w:sz w:val="24"/>
        </w:rPr>
        <w:t>现有会计学、审计学和财务管理三个本科专业。会计学专业是国家级一流本科专业建设点、国家级特色专业、广东省名牌专业；审计学专业是国家级一流本科专业建设点、广东省专业综合改革试点专业；财务管理专业为国家级一流专业建设点、广东省应</w:t>
      </w:r>
      <w:r>
        <w:rPr>
          <w:sz w:val="24"/>
        </w:rPr>
        <w:t>用型人才培养示范专业。国际会计（ACCA）省级人才培养创新实验区是ACCA</w:t>
      </w:r>
      <w:r>
        <w:rPr>
          <w:rFonts w:hint="eastAsia" w:ascii="宋体" w:hAnsi="宋体" w:cs="宋体"/>
          <w:sz w:val="24"/>
        </w:rPr>
        <w:t>总部认定的华南地区高校首个“黄金级培训机构”。学院现有会计学硕士、会计</w:t>
      </w:r>
      <w:r>
        <w:rPr>
          <w:rFonts w:hint="eastAsia"/>
          <w:sz w:val="24"/>
        </w:rPr>
        <w:t>硕士（MPAcc）和审计硕士（MAud）</w:t>
      </w:r>
      <w:r>
        <w:rPr>
          <w:rFonts w:hint="eastAsia" w:ascii="宋体" w:hAnsi="宋体" w:cs="宋体"/>
          <w:sz w:val="24"/>
        </w:rPr>
        <w:t>学位授予权，近年来，学生就业率高、就业质量好。</w:t>
      </w:r>
    </w:p>
    <w:p w14:paraId="599D088F">
      <w:pPr>
        <w:ind w:firstLine="480" w:firstLineChars="200"/>
        <w:rPr>
          <w:rFonts w:ascii="宋体" w:hAnsi="宋体" w:cs="宋体"/>
          <w:sz w:val="24"/>
        </w:rPr>
      </w:pPr>
      <w:r>
        <w:rPr>
          <w:rFonts w:hint="eastAsia" w:ascii="宋体" w:hAnsi="宋体" w:eastAsia="宋体" w:cs="宋体"/>
          <w:color w:val="auto"/>
          <w:sz w:val="24"/>
        </w:rPr>
        <w:t>学院现</w:t>
      </w:r>
      <w:r>
        <w:rPr>
          <w:rFonts w:hint="eastAsia" w:ascii="Times New Roman" w:hAnsi="Times New Roman" w:eastAsia="宋体" w:cs="Times New Roman"/>
          <w:color w:val="auto"/>
          <w:sz w:val="24"/>
        </w:rPr>
        <w:t>有教工</w:t>
      </w:r>
      <w:r>
        <w:rPr>
          <w:rFonts w:hint="eastAsia" w:ascii="Times New Roman" w:hAnsi="Times New Roman" w:eastAsia="宋体" w:cs="Times New Roman"/>
          <w:color w:val="auto"/>
          <w:sz w:val="24"/>
          <w:lang w:val="en-US" w:eastAsia="zh-CN"/>
        </w:rPr>
        <w:t>89</w:t>
      </w:r>
      <w:r>
        <w:rPr>
          <w:rFonts w:hint="eastAsia" w:ascii="Times New Roman" w:hAnsi="Times New Roman" w:eastAsia="宋体" w:cs="Times New Roman"/>
          <w:color w:val="auto"/>
          <w:sz w:val="24"/>
        </w:rPr>
        <w:t>人，其中专任教师</w:t>
      </w:r>
      <w:r>
        <w:rPr>
          <w:rFonts w:hint="eastAsia" w:ascii="Times New Roman" w:hAnsi="Times New Roman" w:eastAsia="宋体" w:cs="Times New Roman"/>
          <w:color w:val="auto"/>
          <w:sz w:val="24"/>
          <w:lang w:val="en-US" w:eastAsia="zh-CN"/>
        </w:rPr>
        <w:t>67</w:t>
      </w:r>
      <w:r>
        <w:rPr>
          <w:rFonts w:hint="eastAsia" w:ascii="Times New Roman" w:hAnsi="Times New Roman" w:eastAsia="宋体" w:cs="Times New Roman"/>
          <w:color w:val="auto"/>
          <w:sz w:val="24"/>
        </w:rPr>
        <w:t>人，有教授</w:t>
      </w:r>
      <w:r>
        <w:rPr>
          <w:rFonts w:hint="eastAsia" w:ascii="Times New Roman" w:hAnsi="Times New Roman" w:eastAsia="宋体" w:cs="Times New Roman"/>
          <w:color w:val="auto"/>
          <w:sz w:val="24"/>
          <w:lang w:val="en-US" w:eastAsia="zh-CN"/>
        </w:rPr>
        <w:t>11</w:t>
      </w:r>
      <w:r>
        <w:rPr>
          <w:rFonts w:hint="eastAsia" w:ascii="Times New Roman" w:hAnsi="Times New Roman" w:eastAsia="宋体" w:cs="Times New Roman"/>
          <w:color w:val="auto"/>
          <w:sz w:val="24"/>
        </w:rPr>
        <w:t>人，副教授</w:t>
      </w:r>
      <w:r>
        <w:rPr>
          <w:rFonts w:hint="eastAsia" w:ascii="Times New Roman" w:hAnsi="Times New Roman" w:eastAsia="宋体" w:cs="Times New Roman"/>
          <w:color w:val="auto"/>
          <w:sz w:val="24"/>
          <w:lang w:val="en-US" w:eastAsia="zh-CN"/>
        </w:rPr>
        <w:t>26</w:t>
      </w:r>
      <w:r>
        <w:rPr>
          <w:rFonts w:hint="eastAsia" w:ascii="Times New Roman" w:hAnsi="Times New Roman" w:eastAsia="宋体" w:cs="Times New Roman"/>
          <w:color w:val="auto"/>
          <w:sz w:val="24"/>
        </w:rPr>
        <w:t>人，讲师</w:t>
      </w:r>
      <w:r>
        <w:rPr>
          <w:rFonts w:hint="eastAsia" w:ascii="Times New Roman" w:hAnsi="Times New Roman" w:eastAsia="宋体" w:cs="Times New Roman"/>
          <w:color w:val="auto"/>
          <w:sz w:val="24"/>
          <w:lang w:val="en-US" w:eastAsia="zh-CN"/>
        </w:rPr>
        <w:t>20</w:t>
      </w:r>
      <w:r>
        <w:rPr>
          <w:rFonts w:hint="eastAsia" w:ascii="Times New Roman" w:hAnsi="Times New Roman" w:eastAsia="宋体" w:cs="Times New Roman"/>
          <w:color w:val="auto"/>
          <w:sz w:val="24"/>
        </w:rPr>
        <w:t>人；专任教师中具有博士学位的教师</w:t>
      </w:r>
      <w:r>
        <w:rPr>
          <w:rFonts w:hint="eastAsia" w:ascii="Times New Roman" w:hAnsi="Times New Roman" w:eastAsia="宋体" w:cs="Times New Roman"/>
          <w:color w:val="auto"/>
          <w:sz w:val="24"/>
          <w:lang w:val="en-US" w:eastAsia="zh-CN"/>
        </w:rPr>
        <w:t>55</w:t>
      </w:r>
      <w:r>
        <w:rPr>
          <w:rFonts w:hint="eastAsia" w:ascii="Times New Roman" w:hAnsi="Times New Roman" w:eastAsia="宋体" w:cs="Times New Roman"/>
          <w:color w:val="auto"/>
          <w:sz w:val="24"/>
        </w:rPr>
        <w:t>人，占比</w:t>
      </w:r>
      <w:r>
        <w:rPr>
          <w:rFonts w:hint="eastAsia" w:ascii="Times New Roman" w:hAnsi="Times New Roman" w:eastAsia="宋体" w:cs="Times New Roman"/>
          <w:color w:val="auto"/>
          <w:sz w:val="24"/>
          <w:lang w:val="en-US" w:eastAsia="zh-CN"/>
        </w:rPr>
        <w:t>82</w:t>
      </w:r>
      <w:r>
        <w:rPr>
          <w:rFonts w:hint="eastAsia" w:ascii="Times New Roman" w:hAnsi="Times New Roman" w:eastAsia="宋体" w:cs="Times New Roman"/>
          <w:color w:val="auto"/>
          <w:sz w:val="24"/>
        </w:rPr>
        <w:t>%。</w:t>
      </w:r>
      <w:r>
        <w:rPr>
          <w:rFonts w:hint="eastAsia"/>
          <w:sz w:val="24"/>
        </w:rPr>
        <w:t>专任教师中有</w:t>
      </w:r>
      <w:r>
        <w:rPr>
          <w:rFonts w:hint="eastAsia"/>
          <w:sz w:val="24"/>
          <w:lang w:eastAsia="zh-Hans"/>
        </w:rPr>
        <w:t>博士生导师4人</w:t>
      </w:r>
      <w:r>
        <w:rPr>
          <w:rFonts w:hint="eastAsia"/>
          <w:sz w:val="24"/>
        </w:rPr>
        <w:t>，</w:t>
      </w:r>
      <w:r>
        <w:rPr>
          <w:rFonts w:hint="eastAsia"/>
          <w:sz w:val="24"/>
          <w:lang w:eastAsia="zh-Hans"/>
        </w:rPr>
        <w:t>硕士导师</w:t>
      </w:r>
      <w:r>
        <w:rPr>
          <w:rFonts w:hint="eastAsia"/>
          <w:sz w:val="24"/>
        </w:rPr>
        <w:t>48</w:t>
      </w:r>
      <w:r>
        <w:rPr>
          <w:rFonts w:hint="eastAsia"/>
          <w:sz w:val="24"/>
          <w:lang w:eastAsia="zh-Hans"/>
        </w:rPr>
        <w:t>人</w:t>
      </w:r>
      <w:r>
        <w:rPr>
          <w:rFonts w:hint="eastAsia"/>
          <w:sz w:val="24"/>
        </w:rPr>
        <w:t>，</w:t>
      </w:r>
      <w:r>
        <w:rPr>
          <w:rFonts w:hint="eastAsia"/>
          <w:sz w:val="24"/>
          <w:lang w:eastAsia="zh-Hans"/>
        </w:rPr>
        <w:t>博士后合作导师4人；聘请校外实践导师</w:t>
      </w:r>
      <w:r>
        <w:rPr>
          <w:rFonts w:hint="eastAsia"/>
          <w:sz w:val="24"/>
        </w:rPr>
        <w:t>208</w:t>
      </w:r>
      <w:r>
        <w:rPr>
          <w:rFonts w:hint="eastAsia"/>
          <w:sz w:val="24"/>
          <w:lang w:eastAsia="zh-Hans"/>
        </w:rPr>
        <w:t>人</w:t>
      </w:r>
      <w:r>
        <w:rPr>
          <w:rFonts w:hint="eastAsia"/>
          <w:sz w:val="24"/>
        </w:rPr>
        <w:t>。师资队伍中有财政部全国高端会计人才4人、广东省高端会计人才4人、广</w:t>
      </w:r>
      <w:r>
        <w:rPr>
          <w:rFonts w:hint="eastAsia" w:ascii="宋体" w:hAnsi="宋体" w:cs="宋体"/>
          <w:sz w:val="24"/>
        </w:rPr>
        <w:t>东省高校“千百十人才工程”培养</w:t>
      </w:r>
      <w:r>
        <w:rPr>
          <w:rFonts w:hint="eastAsia"/>
          <w:sz w:val="24"/>
        </w:rPr>
        <w:t>对象11人，南粤优秀教师4人、广东省高校优秀青年教师培养对象4人、</w:t>
      </w:r>
      <w:r>
        <w:rPr>
          <w:rFonts w:hint="eastAsia"/>
          <w:sz w:val="24"/>
          <w:lang w:eastAsia="zh-Hans"/>
        </w:rPr>
        <w:t>广东高校辅导员年度人物1人</w:t>
      </w:r>
      <w:r>
        <w:rPr>
          <w:rFonts w:hint="eastAsia"/>
          <w:sz w:val="24"/>
        </w:rPr>
        <w:t>。</w:t>
      </w:r>
      <w:r>
        <w:rPr>
          <w:rFonts w:hint="eastAsia"/>
          <w:sz w:val="24"/>
          <w:lang w:eastAsia="zh-Hans"/>
        </w:rPr>
        <w:t>先后有</w:t>
      </w:r>
      <w:r>
        <w:rPr>
          <w:rFonts w:hint="eastAsia"/>
          <w:sz w:val="24"/>
        </w:rPr>
        <w:t>近30名</w:t>
      </w:r>
      <w:r>
        <w:rPr>
          <w:rFonts w:hint="eastAsia"/>
          <w:sz w:val="24"/>
          <w:lang w:eastAsia="zh-Hans"/>
        </w:rPr>
        <w:t>教师作为访问学者到美国、加拿大、澳大利亚等国家访</w:t>
      </w:r>
      <w:r>
        <w:rPr>
          <w:rFonts w:hint="eastAsia" w:ascii="宋体" w:hAnsi="宋体"/>
          <w:color w:val="000000"/>
          <w:sz w:val="24"/>
          <w:lang w:eastAsia="zh-Hans"/>
        </w:rPr>
        <w:t>学。</w:t>
      </w:r>
      <w:r>
        <w:rPr>
          <w:rFonts w:hint="eastAsia" w:ascii="宋体" w:hAnsi="宋体" w:cs="宋体"/>
          <w:sz w:val="24"/>
        </w:rPr>
        <w:t>会计学专业教学团队和审计学专业教学团队为省级教学团队，粤港澳大湾区资本市场财务与会计创新研究团队和大数据审计研究团队为省级科研创新团队，“粤港澳大湾区会计与财务创新人才引育和建设”为省级“海外名师”人才项目。拥有广东省普通高校人文社会科学重点研究基地“广东财经大学粤港澳大湾区资本市场与审计治理研究院”、广东省反垄断执法与大数据分析研究中心、广东省协同育人平台“国际化应用型会计人才协同育人平台”、中央财政资金支持的“广东财经大学复合型应用型审计专业人才综合能力提升和实践基地”等科研教学平台。</w:t>
      </w:r>
    </w:p>
    <w:p w14:paraId="15F86E85">
      <w:pPr>
        <w:ind w:firstLine="480" w:firstLineChars="200"/>
        <w:rPr>
          <w:rFonts w:ascii="宋体" w:hAnsi="宋体" w:cs="宋体"/>
          <w:sz w:val="24"/>
        </w:rPr>
      </w:pPr>
      <w:r>
        <w:rPr>
          <w:rFonts w:hint="eastAsia" w:ascii="宋体" w:hAnsi="宋体"/>
          <w:color w:val="000000"/>
          <w:sz w:val="24"/>
        </w:rPr>
        <w:t>学院</w:t>
      </w:r>
      <w:r>
        <w:rPr>
          <w:rFonts w:hint="eastAsia" w:ascii="宋体" w:hAnsi="宋体"/>
          <w:color w:val="000000"/>
          <w:sz w:val="24"/>
          <w:lang w:eastAsia="zh-Hans"/>
        </w:rPr>
        <w:t>将以学校发展战略为引领，践行“厚德、励学、笃行、拓新”的校训，落实立德树人根本任务，立足广东和粤港澳大湾区，探索智能化时代新文科建设和创新发展，以学科建设和专业建设为抓手，坚持“协同与融合”的发展路径，实现校外协同与校内协同，实现技术融合、产教融合和区域融合，培养高端财会审专业人才，服务经济社会发展，努力建设成为粤港澳大湾区一流学科。</w:t>
      </w:r>
    </w:p>
    <w:p w14:paraId="732E1699">
      <w:pPr>
        <w:rPr>
          <w:rFonts w:ascii="宋体" w:hAnsi="宋体" w:cs="宋体"/>
          <w:sz w:val="24"/>
        </w:rPr>
      </w:pPr>
    </w:p>
    <w:p w14:paraId="7C9D08E5">
      <w:pPr>
        <w:rPr>
          <w:rFonts w:ascii="宋体" w:hAnsi="宋体" w:cs="宋体"/>
          <w:sz w:val="24"/>
          <w:lang w:eastAsia="zh-Hans"/>
        </w:rPr>
      </w:pPr>
      <w:r>
        <w:rPr>
          <w:rFonts w:hint="eastAsia" w:ascii="宋体" w:hAnsi="宋体"/>
          <w:b/>
          <w:sz w:val="24"/>
          <w:szCs w:val="20"/>
        </w:rPr>
        <w:t xml:space="preserve">培养目标: </w:t>
      </w:r>
      <w:r>
        <w:rPr>
          <w:rFonts w:hint="eastAsia" w:ascii="宋体" w:hAnsi="宋体" w:cs="宋体"/>
          <w:sz w:val="24"/>
        </w:rPr>
        <w:t>本学位点对接国家和粤港澳大湾区经济社会发展，坚持“立足湾区、多元协同、数智赋能”的人才培养理念，以培养</w:t>
      </w:r>
      <w:r>
        <w:rPr>
          <w:rFonts w:ascii="宋体" w:hAnsi="宋体" w:cs="宋体"/>
          <w:sz w:val="24"/>
        </w:rPr>
        <w:t>具备扎实的经济学和管理学理论基础</w:t>
      </w:r>
      <w:r>
        <w:rPr>
          <w:rFonts w:hint="eastAsia" w:ascii="宋体" w:hAnsi="宋体" w:cs="宋体"/>
          <w:sz w:val="24"/>
        </w:rPr>
        <w:t>，系统掌握</w:t>
      </w:r>
      <w:r>
        <w:rPr>
          <w:rFonts w:ascii="宋体" w:hAnsi="宋体" w:cs="宋体"/>
          <w:sz w:val="24"/>
        </w:rPr>
        <w:t>会计、审计、财务管理</w:t>
      </w:r>
      <w:r>
        <w:rPr>
          <w:rFonts w:hint="eastAsia" w:ascii="宋体" w:hAnsi="宋体" w:cs="宋体"/>
          <w:sz w:val="24"/>
        </w:rPr>
        <w:t>及相关领域的专业知识</w:t>
      </w:r>
      <w:r>
        <w:rPr>
          <w:rFonts w:ascii="宋体" w:hAnsi="宋体" w:cs="宋体"/>
          <w:sz w:val="24"/>
        </w:rPr>
        <w:t>与技能</w:t>
      </w:r>
      <w:r>
        <w:rPr>
          <w:rFonts w:hint="eastAsia" w:ascii="宋体" w:hAnsi="宋体" w:cs="宋体"/>
          <w:sz w:val="24"/>
        </w:rPr>
        <w:t>为目标，面向高层次会计管理工作部门和岗位，培养组织管理能力较强，具有优良的思想道德、科学精神、人文素养、专业知识、国际视野和战略思维，能够适应环境变化、可持续成长，能服务于企事业单位的高素质、复合型、应用型、国际化会计领域实践创新型人才</w:t>
      </w:r>
      <w:r>
        <w:rPr>
          <w:rFonts w:hint="eastAsia" w:ascii="宋体" w:hAnsi="宋体" w:cs="宋体"/>
          <w:sz w:val="24"/>
          <w:lang w:eastAsia="zh-Hans"/>
        </w:rPr>
        <w:t>。</w:t>
      </w:r>
    </w:p>
    <w:p w14:paraId="682F488A">
      <w:pPr>
        <w:rPr>
          <w:rFonts w:ascii="宋体" w:hAnsi="宋体" w:cs="宋体"/>
          <w:sz w:val="24"/>
        </w:rPr>
      </w:pPr>
    </w:p>
    <w:p w14:paraId="5A5A04CC">
      <w:pPr>
        <w:rPr>
          <w:rFonts w:ascii="宋体" w:hAnsi="宋体"/>
          <w:color w:val="000000"/>
          <w:sz w:val="24"/>
          <w:szCs w:val="20"/>
        </w:rPr>
      </w:pPr>
      <w:r>
        <w:rPr>
          <w:rFonts w:hint="eastAsia" w:ascii="宋体" w:hAnsi="宋体"/>
          <w:b/>
          <w:color w:val="000000"/>
          <w:sz w:val="24"/>
          <w:szCs w:val="20"/>
        </w:rPr>
        <w:t>主要课程:</w:t>
      </w:r>
      <w:r>
        <w:rPr>
          <w:rFonts w:hint="eastAsia"/>
        </w:rPr>
        <w:t xml:space="preserve"> </w:t>
      </w:r>
      <w:r>
        <w:rPr>
          <w:rFonts w:hint="eastAsia" w:ascii="宋体" w:hAnsi="宋体"/>
          <w:color w:val="000000"/>
          <w:sz w:val="24"/>
          <w:szCs w:val="20"/>
        </w:rPr>
        <w:t>财务会计理论与实务、财务管理理论与实务、管理会计理论与实务、审计理论与实务、大数据财务分析与决策、业财融合与财务共享、数智化审计、资本市场与上市筹</w:t>
      </w:r>
      <w:r>
        <w:rPr>
          <w:color w:val="000000"/>
          <w:sz w:val="24"/>
          <w:szCs w:val="20"/>
        </w:rPr>
        <w:t>划、RPA 财务机器人</w:t>
      </w:r>
      <w:r>
        <w:rPr>
          <w:rFonts w:hint="eastAsia" w:ascii="宋体" w:hAnsi="宋体"/>
          <w:color w:val="000000"/>
          <w:sz w:val="24"/>
          <w:szCs w:val="20"/>
        </w:rPr>
        <w:t>应用、数智化审计、数智化管理会计、商业伦理与会计职业道德、内部控制理论与实务、会计准则理论与案例、信息披露与上市规则、内部控制与公司治理、注册会计师业务研讨、跨国公司财务管理、战略商业领袖、业绩评价与激励机制、企业税收筹划、湾区财经概论、湾区资本市场与财务治理、</w:t>
      </w:r>
      <w:r>
        <w:rPr>
          <w:rFonts w:hint="eastAsia"/>
          <w:color w:val="000000"/>
          <w:sz w:val="24"/>
          <w:szCs w:val="20"/>
        </w:rPr>
        <w:t>Python程序设计</w:t>
      </w:r>
      <w:r>
        <w:rPr>
          <w:rFonts w:hint="eastAsia" w:ascii="宋体" w:hAnsi="宋体"/>
          <w:color w:val="000000"/>
          <w:sz w:val="24"/>
          <w:szCs w:val="20"/>
        </w:rPr>
        <w:t>等。</w:t>
      </w:r>
    </w:p>
    <w:p w14:paraId="4F552E6E">
      <w:pPr>
        <w:rPr>
          <w:rFonts w:ascii="宋体" w:hAnsi="宋体"/>
          <w:color w:val="000000"/>
          <w:sz w:val="24"/>
          <w:szCs w:val="20"/>
        </w:rPr>
      </w:pPr>
    </w:p>
    <w:p w14:paraId="6D52021D">
      <w:pPr>
        <w:adjustRightInd w:val="0"/>
        <w:snapToGrid w:val="0"/>
        <w:rPr>
          <w:rFonts w:ascii="宋体" w:hAnsi="宋体"/>
          <w:color w:val="000000"/>
          <w:sz w:val="24"/>
          <w:szCs w:val="20"/>
        </w:rPr>
      </w:pPr>
      <w:r>
        <w:rPr>
          <w:rFonts w:hint="eastAsia" w:ascii="宋体" w:hAnsi="宋体"/>
          <w:b/>
          <w:color w:val="000000"/>
          <w:sz w:val="24"/>
          <w:szCs w:val="20"/>
        </w:rPr>
        <w:t>就业方向:</w:t>
      </w:r>
      <w:r>
        <w:rPr>
          <w:rFonts w:hint="eastAsia"/>
        </w:rPr>
        <w:t xml:space="preserve"> </w:t>
      </w:r>
      <w:r>
        <w:rPr>
          <w:rFonts w:hint="eastAsia" w:ascii="宋体" w:hAnsi="宋体"/>
          <w:color w:val="000000"/>
          <w:sz w:val="24"/>
          <w:szCs w:val="20"/>
        </w:rPr>
        <w:t>为行政事业单位、非营利性组织、上市公司、大型跨国公司、会计师事务所等企业组织培养具有国际视野和战略思维能力的高级会计人员、高级财务管理人员和注册会计师。</w:t>
      </w:r>
    </w:p>
    <w:p w14:paraId="69E2AE10">
      <w:pPr>
        <w:adjustRightInd w:val="0"/>
        <w:snapToGrid w:val="0"/>
        <w:rPr>
          <w:rFonts w:ascii="宋体" w:hAnsi="宋体"/>
          <w:color w:val="000000"/>
          <w:sz w:val="24"/>
          <w:szCs w:val="20"/>
        </w:rPr>
      </w:pPr>
    </w:p>
    <w:p w14:paraId="33629ED2">
      <w:pPr>
        <w:adjustRightInd w:val="0"/>
        <w:snapToGrid w:val="0"/>
        <w:rPr>
          <w:rFonts w:ascii="宋体" w:hAnsi="宋体"/>
          <w:color w:val="000000"/>
          <w:sz w:val="24"/>
          <w:szCs w:val="20"/>
        </w:rPr>
      </w:pPr>
      <w:r>
        <w:rPr>
          <w:rFonts w:hint="eastAsia" w:ascii="宋体" w:hAnsi="宋体"/>
          <w:b/>
          <w:color w:val="000000"/>
          <w:sz w:val="24"/>
          <w:szCs w:val="20"/>
        </w:rPr>
        <w:t>研究方向:</w:t>
      </w:r>
      <w:r>
        <w:rPr>
          <w:rFonts w:hint="eastAsia" w:ascii="宋体" w:hAnsi="宋体"/>
          <w:color w:val="000000"/>
          <w:sz w:val="24"/>
          <w:szCs w:val="20"/>
        </w:rPr>
        <w:t>财务会计与信息披露、审计鉴证与管理咨询、财务管理与管理会计、智能会计。</w:t>
      </w:r>
    </w:p>
    <w:p w14:paraId="4203242F">
      <w:pPr>
        <w:adjustRightInd w:val="0"/>
        <w:snapToGrid w:val="0"/>
        <w:jc w:val="center"/>
        <w:rPr>
          <w:b/>
          <w:color w:val="000000"/>
          <w:sz w:val="24"/>
          <w:szCs w:val="20"/>
        </w:rPr>
      </w:pPr>
      <w:r>
        <w:rPr>
          <w:b/>
          <w:color w:val="000000"/>
          <w:sz w:val="24"/>
          <w:szCs w:val="20"/>
        </w:rPr>
        <w:t>专业代码：125300                        咨询电话：020-84095629</w:t>
      </w:r>
    </w:p>
    <w:tbl>
      <w:tblPr>
        <w:tblStyle w:val="9"/>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916"/>
        <w:gridCol w:w="3024"/>
        <w:gridCol w:w="1800"/>
      </w:tblGrid>
      <w:tr w14:paraId="7954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28" w:type="dxa"/>
            <w:vAlign w:val="center"/>
          </w:tcPr>
          <w:p w14:paraId="1380B8A9">
            <w:pPr>
              <w:jc w:val="center"/>
              <w:rPr>
                <w:b/>
                <w:color w:val="000000"/>
                <w:sz w:val="24"/>
              </w:rPr>
            </w:pPr>
            <w:r>
              <w:rPr>
                <w:b/>
                <w:color w:val="000000"/>
                <w:sz w:val="24"/>
              </w:rPr>
              <w:t>序号</w:t>
            </w:r>
          </w:p>
        </w:tc>
        <w:tc>
          <w:tcPr>
            <w:tcW w:w="2916" w:type="dxa"/>
            <w:vAlign w:val="center"/>
          </w:tcPr>
          <w:p w14:paraId="441F4AC5">
            <w:pPr>
              <w:jc w:val="center"/>
              <w:rPr>
                <w:b/>
                <w:color w:val="000000"/>
                <w:sz w:val="24"/>
              </w:rPr>
            </w:pPr>
            <w:r>
              <w:rPr>
                <w:b/>
                <w:color w:val="000000"/>
                <w:sz w:val="24"/>
              </w:rPr>
              <w:t>研究方向</w:t>
            </w:r>
          </w:p>
        </w:tc>
        <w:tc>
          <w:tcPr>
            <w:tcW w:w="3024" w:type="dxa"/>
            <w:vAlign w:val="center"/>
          </w:tcPr>
          <w:p w14:paraId="7F3E76FE">
            <w:pPr>
              <w:jc w:val="center"/>
              <w:rPr>
                <w:b/>
                <w:color w:val="000000"/>
                <w:sz w:val="24"/>
              </w:rPr>
            </w:pPr>
            <w:r>
              <w:rPr>
                <w:b/>
                <w:color w:val="000000"/>
                <w:sz w:val="24"/>
              </w:rPr>
              <w:t>初试科目</w:t>
            </w:r>
          </w:p>
        </w:tc>
        <w:tc>
          <w:tcPr>
            <w:tcW w:w="1800" w:type="dxa"/>
            <w:vAlign w:val="center"/>
          </w:tcPr>
          <w:p w14:paraId="59B0ED1D">
            <w:pPr>
              <w:jc w:val="center"/>
              <w:rPr>
                <w:b/>
                <w:color w:val="000000"/>
                <w:sz w:val="24"/>
              </w:rPr>
            </w:pPr>
            <w:r>
              <w:rPr>
                <w:b/>
                <w:color w:val="000000"/>
                <w:sz w:val="24"/>
              </w:rPr>
              <w:t>复试科目</w:t>
            </w:r>
          </w:p>
        </w:tc>
      </w:tr>
      <w:tr w14:paraId="2A7CE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828" w:type="dxa"/>
            <w:vAlign w:val="center"/>
          </w:tcPr>
          <w:p w14:paraId="2C5B4FBA">
            <w:pPr>
              <w:jc w:val="center"/>
              <w:rPr>
                <w:color w:val="000000"/>
                <w:sz w:val="24"/>
              </w:rPr>
            </w:pPr>
            <w:r>
              <w:rPr>
                <w:color w:val="000000"/>
                <w:sz w:val="24"/>
              </w:rPr>
              <w:t>1</w:t>
            </w:r>
          </w:p>
        </w:tc>
        <w:tc>
          <w:tcPr>
            <w:tcW w:w="2916" w:type="dxa"/>
            <w:vAlign w:val="center"/>
          </w:tcPr>
          <w:p w14:paraId="16F8569A">
            <w:pPr>
              <w:jc w:val="left"/>
              <w:rPr>
                <w:color w:val="000000"/>
                <w:sz w:val="24"/>
                <w:szCs w:val="22"/>
              </w:rPr>
            </w:pPr>
            <w:r>
              <w:rPr>
                <w:color w:val="000000"/>
                <w:sz w:val="24"/>
                <w:szCs w:val="22"/>
              </w:rPr>
              <w:t>财务会计与信息披露</w:t>
            </w:r>
          </w:p>
        </w:tc>
        <w:tc>
          <w:tcPr>
            <w:tcW w:w="3024" w:type="dxa"/>
            <w:vMerge w:val="restart"/>
            <w:vAlign w:val="center"/>
          </w:tcPr>
          <w:p w14:paraId="02178622">
            <w:pPr>
              <w:adjustRightInd w:val="0"/>
              <w:snapToGrid w:val="0"/>
              <w:rPr>
                <w:color w:val="000000"/>
                <w:sz w:val="24"/>
              </w:rPr>
            </w:pPr>
            <w:r>
              <w:rPr>
                <w:color w:val="000000"/>
                <w:sz w:val="24"/>
              </w:rPr>
              <w:t>（1）▲管理类联考综合能力（200分）</w:t>
            </w:r>
          </w:p>
          <w:p w14:paraId="266B8520">
            <w:pPr>
              <w:adjustRightInd w:val="0"/>
              <w:snapToGrid w:val="0"/>
              <w:rPr>
                <w:color w:val="000000"/>
                <w:sz w:val="24"/>
              </w:rPr>
            </w:pPr>
            <w:r>
              <w:rPr>
                <w:color w:val="000000"/>
                <w:sz w:val="24"/>
              </w:rPr>
              <w:t>（2）▲英语二（100分）</w:t>
            </w:r>
          </w:p>
        </w:tc>
        <w:tc>
          <w:tcPr>
            <w:tcW w:w="1800" w:type="dxa"/>
            <w:vMerge w:val="restart"/>
            <w:vAlign w:val="center"/>
          </w:tcPr>
          <w:p w14:paraId="4FBE503E">
            <w:pPr>
              <w:rPr>
                <w:sz w:val="24"/>
                <w:szCs w:val="32"/>
              </w:rPr>
            </w:pPr>
            <w:bookmarkStart w:id="0" w:name="OLE_LINK3"/>
            <w:r>
              <w:rPr>
                <w:rFonts w:hint="eastAsia"/>
                <w:sz w:val="24"/>
                <w:szCs w:val="32"/>
              </w:rPr>
              <w:t>F001-思想政治理论（开卷）</w:t>
            </w:r>
          </w:p>
          <w:bookmarkEnd w:id="0"/>
          <w:p w14:paraId="1D6A77B4">
            <w:pPr>
              <w:rPr>
                <w:color w:val="000000"/>
                <w:sz w:val="24"/>
              </w:rPr>
            </w:pPr>
            <w:r>
              <w:rPr>
                <w:sz w:val="24"/>
                <w:szCs w:val="32"/>
              </w:rPr>
              <w:t>F536-会计综合知识（100分）</w:t>
            </w:r>
          </w:p>
        </w:tc>
      </w:tr>
      <w:tr w14:paraId="038D8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828" w:type="dxa"/>
            <w:vAlign w:val="center"/>
          </w:tcPr>
          <w:p w14:paraId="17722CDB">
            <w:pPr>
              <w:jc w:val="center"/>
              <w:rPr>
                <w:color w:val="000000"/>
                <w:sz w:val="24"/>
              </w:rPr>
            </w:pPr>
            <w:r>
              <w:rPr>
                <w:color w:val="000000"/>
                <w:sz w:val="24"/>
              </w:rPr>
              <w:t>2</w:t>
            </w:r>
          </w:p>
        </w:tc>
        <w:tc>
          <w:tcPr>
            <w:tcW w:w="2916" w:type="dxa"/>
            <w:vAlign w:val="center"/>
          </w:tcPr>
          <w:p w14:paraId="2D5508EC">
            <w:pPr>
              <w:jc w:val="left"/>
              <w:rPr>
                <w:color w:val="000000"/>
                <w:sz w:val="24"/>
                <w:szCs w:val="22"/>
              </w:rPr>
            </w:pPr>
            <w:r>
              <w:rPr>
                <w:color w:val="000000"/>
                <w:sz w:val="24"/>
                <w:szCs w:val="22"/>
              </w:rPr>
              <w:t>审计鉴证与管理咨询</w:t>
            </w:r>
          </w:p>
        </w:tc>
        <w:tc>
          <w:tcPr>
            <w:tcW w:w="3024" w:type="dxa"/>
            <w:vMerge w:val="continue"/>
            <w:vAlign w:val="center"/>
          </w:tcPr>
          <w:p w14:paraId="0B2440C3">
            <w:pPr>
              <w:jc w:val="center"/>
              <w:rPr>
                <w:color w:val="000000"/>
                <w:szCs w:val="20"/>
              </w:rPr>
            </w:pPr>
          </w:p>
        </w:tc>
        <w:tc>
          <w:tcPr>
            <w:tcW w:w="1800" w:type="dxa"/>
            <w:vMerge w:val="continue"/>
            <w:vAlign w:val="center"/>
          </w:tcPr>
          <w:p w14:paraId="1DDA9E3A">
            <w:pPr>
              <w:jc w:val="center"/>
              <w:rPr>
                <w:color w:val="000000"/>
                <w:szCs w:val="20"/>
              </w:rPr>
            </w:pPr>
          </w:p>
        </w:tc>
      </w:tr>
      <w:tr w14:paraId="6F20A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828" w:type="dxa"/>
            <w:vAlign w:val="center"/>
          </w:tcPr>
          <w:p w14:paraId="1D5BF26D">
            <w:pPr>
              <w:jc w:val="center"/>
              <w:rPr>
                <w:color w:val="000000"/>
                <w:sz w:val="24"/>
              </w:rPr>
            </w:pPr>
            <w:r>
              <w:rPr>
                <w:color w:val="000000"/>
                <w:sz w:val="24"/>
              </w:rPr>
              <w:t>3</w:t>
            </w:r>
          </w:p>
        </w:tc>
        <w:tc>
          <w:tcPr>
            <w:tcW w:w="2916" w:type="dxa"/>
            <w:vAlign w:val="center"/>
          </w:tcPr>
          <w:p w14:paraId="2A10B41A">
            <w:pPr>
              <w:jc w:val="left"/>
              <w:rPr>
                <w:color w:val="000000"/>
                <w:sz w:val="24"/>
                <w:szCs w:val="22"/>
              </w:rPr>
            </w:pPr>
            <w:r>
              <w:rPr>
                <w:color w:val="000000"/>
                <w:sz w:val="24"/>
                <w:szCs w:val="20"/>
              </w:rPr>
              <w:t>财务管理与管理会计</w:t>
            </w:r>
          </w:p>
        </w:tc>
        <w:tc>
          <w:tcPr>
            <w:tcW w:w="3024" w:type="dxa"/>
            <w:vMerge w:val="continue"/>
            <w:vAlign w:val="center"/>
          </w:tcPr>
          <w:p w14:paraId="2FC7018F">
            <w:pPr>
              <w:jc w:val="center"/>
              <w:rPr>
                <w:color w:val="000000"/>
                <w:szCs w:val="20"/>
              </w:rPr>
            </w:pPr>
          </w:p>
        </w:tc>
        <w:tc>
          <w:tcPr>
            <w:tcW w:w="1800" w:type="dxa"/>
            <w:vMerge w:val="continue"/>
            <w:vAlign w:val="center"/>
          </w:tcPr>
          <w:p w14:paraId="6648A5BB">
            <w:pPr>
              <w:jc w:val="center"/>
              <w:rPr>
                <w:color w:val="000000"/>
                <w:szCs w:val="20"/>
              </w:rPr>
            </w:pPr>
          </w:p>
        </w:tc>
      </w:tr>
      <w:tr w14:paraId="6E8BC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828" w:type="dxa"/>
            <w:vAlign w:val="center"/>
          </w:tcPr>
          <w:p w14:paraId="61F63932">
            <w:pPr>
              <w:jc w:val="center"/>
              <w:rPr>
                <w:color w:val="000000"/>
                <w:sz w:val="24"/>
              </w:rPr>
            </w:pPr>
            <w:r>
              <w:rPr>
                <w:color w:val="000000"/>
                <w:sz w:val="24"/>
              </w:rPr>
              <w:t>4</w:t>
            </w:r>
          </w:p>
        </w:tc>
        <w:tc>
          <w:tcPr>
            <w:tcW w:w="2916" w:type="dxa"/>
            <w:vAlign w:val="center"/>
          </w:tcPr>
          <w:p w14:paraId="304FECBA">
            <w:pPr>
              <w:jc w:val="left"/>
              <w:rPr>
                <w:color w:val="000000"/>
                <w:sz w:val="24"/>
                <w:szCs w:val="22"/>
              </w:rPr>
            </w:pPr>
            <w:r>
              <w:rPr>
                <w:color w:val="000000"/>
                <w:sz w:val="24"/>
                <w:szCs w:val="22"/>
              </w:rPr>
              <w:t>智能会计</w:t>
            </w:r>
          </w:p>
        </w:tc>
        <w:tc>
          <w:tcPr>
            <w:tcW w:w="3024" w:type="dxa"/>
            <w:vMerge w:val="continue"/>
            <w:vAlign w:val="center"/>
          </w:tcPr>
          <w:p w14:paraId="502E3981">
            <w:pPr>
              <w:jc w:val="center"/>
              <w:rPr>
                <w:color w:val="000000"/>
                <w:szCs w:val="20"/>
              </w:rPr>
            </w:pPr>
          </w:p>
        </w:tc>
        <w:tc>
          <w:tcPr>
            <w:tcW w:w="1800" w:type="dxa"/>
            <w:vMerge w:val="continue"/>
            <w:vAlign w:val="center"/>
          </w:tcPr>
          <w:p w14:paraId="4492D0B3">
            <w:pPr>
              <w:jc w:val="center"/>
              <w:rPr>
                <w:color w:val="000000"/>
                <w:szCs w:val="20"/>
              </w:rPr>
            </w:pPr>
          </w:p>
        </w:tc>
      </w:tr>
    </w:tbl>
    <w:p w14:paraId="69D711E6">
      <w:pPr>
        <w:adjustRightInd w:val="0"/>
        <w:snapToGrid w:val="0"/>
        <w:rPr>
          <w:b/>
          <w:bCs/>
          <w:szCs w:val="20"/>
        </w:rPr>
      </w:pPr>
      <w:r>
        <w:rPr>
          <w:b/>
          <w:bCs/>
          <w:szCs w:val="20"/>
        </w:rPr>
        <w:t>▲</w:t>
      </w:r>
      <w:r>
        <w:rPr>
          <w:rFonts w:eastAsia="仿宋_GB2312"/>
          <w:b/>
          <w:bCs/>
          <w:color w:val="000000"/>
          <w:sz w:val="24"/>
          <w:szCs w:val="20"/>
        </w:rPr>
        <w:t>表示统考科目或联考科目，考试题型、考试大纲以教育部公布为准。其他为自命题科目。</w:t>
      </w:r>
    </w:p>
    <w:p w14:paraId="63D5C186">
      <w:pPr>
        <w:snapToGrid w:val="0"/>
        <w:rPr>
          <w:rFonts w:eastAsia="黑体"/>
          <w:b/>
          <w:sz w:val="24"/>
          <w:szCs w:val="20"/>
        </w:rPr>
      </w:pPr>
    </w:p>
    <w:p w14:paraId="2DDCC694">
      <w:pPr>
        <w:snapToGrid w:val="0"/>
        <w:rPr>
          <w:rFonts w:ascii="宋体" w:hAnsi="宋体" w:cs="宋体"/>
          <w:b/>
          <w:sz w:val="24"/>
          <w:szCs w:val="20"/>
        </w:rPr>
      </w:pPr>
      <w:r>
        <w:rPr>
          <w:rFonts w:hint="eastAsia" w:ascii="宋体" w:hAnsi="宋体" w:cs="宋体"/>
          <w:b/>
          <w:sz w:val="24"/>
          <w:szCs w:val="20"/>
        </w:rPr>
        <w:t>考试题型及相应分值：</w:t>
      </w:r>
    </w:p>
    <w:p w14:paraId="1A089408">
      <w:pPr>
        <w:widowControl/>
        <w:snapToGrid w:val="0"/>
        <w:outlineLvl w:val="0"/>
        <w:rPr>
          <w:rFonts w:ascii="宋体" w:hAnsi="宋体" w:cs="宋体"/>
          <w:b/>
          <w:color w:val="000000"/>
          <w:kern w:val="0"/>
          <w:sz w:val="24"/>
          <w:szCs w:val="20"/>
        </w:rPr>
      </w:pPr>
      <w:r>
        <w:rPr>
          <w:rFonts w:hint="eastAsia" w:ascii="宋体" w:hAnsi="宋体" w:cs="宋体"/>
          <w:b/>
          <w:color w:val="000000"/>
          <w:kern w:val="0"/>
          <w:sz w:val="24"/>
          <w:szCs w:val="20"/>
        </w:rPr>
        <w:t>《会计综合知识》</w:t>
      </w:r>
    </w:p>
    <w:p w14:paraId="4DA785A4">
      <w:pPr>
        <w:widowControl/>
        <w:snapToGrid w:val="0"/>
        <w:outlineLvl w:val="0"/>
        <w:rPr>
          <w:bCs/>
          <w:color w:val="000000"/>
          <w:kern w:val="0"/>
          <w:sz w:val="24"/>
          <w:szCs w:val="20"/>
        </w:rPr>
      </w:pPr>
      <w:r>
        <w:rPr>
          <w:bCs/>
          <w:color w:val="000000"/>
          <w:kern w:val="0"/>
          <w:sz w:val="24"/>
          <w:szCs w:val="20"/>
        </w:rPr>
        <w:t>《会计综合知识》100分（含财务会计、管理会计、财务管理、审计）。其中：财务会计占40%，管理会计占20%，财务管理占20%，审计占20%。</w:t>
      </w:r>
    </w:p>
    <w:p w14:paraId="1CBAFA02">
      <w:pPr>
        <w:shd w:val="solid" w:color="FFFFFF" w:fill="auto"/>
        <w:autoSpaceDN w:val="0"/>
        <w:adjustRightInd w:val="0"/>
        <w:snapToGrid w:val="0"/>
        <w:rPr>
          <w:color w:val="000000"/>
          <w:sz w:val="24"/>
          <w:shd w:val="clear" w:color="auto" w:fill="FFFFFF"/>
        </w:rPr>
      </w:pPr>
      <w:r>
        <w:rPr>
          <w:color w:val="000000"/>
          <w:sz w:val="24"/>
          <w:shd w:val="clear" w:color="auto" w:fill="FFFFFF"/>
        </w:rPr>
        <w:t>（</w:t>
      </w:r>
      <w:r>
        <w:rPr>
          <w:rFonts w:hint="eastAsia"/>
          <w:color w:val="000000"/>
          <w:sz w:val="24"/>
          <w:shd w:val="clear" w:color="auto" w:fill="FFFFFF"/>
        </w:rPr>
        <w:t>一</w:t>
      </w:r>
      <w:r>
        <w:rPr>
          <w:color w:val="000000"/>
          <w:sz w:val="24"/>
          <w:shd w:val="clear" w:color="auto" w:fill="FFFFFF"/>
        </w:rPr>
        <w:t>）名词解释（5题，每题3分，共15分）</w:t>
      </w:r>
    </w:p>
    <w:p w14:paraId="5ECDF4C3">
      <w:pPr>
        <w:shd w:val="solid" w:color="FFFFFF" w:fill="auto"/>
        <w:autoSpaceDN w:val="0"/>
        <w:adjustRightInd w:val="0"/>
        <w:snapToGrid w:val="0"/>
        <w:rPr>
          <w:color w:val="000000"/>
          <w:sz w:val="24"/>
          <w:shd w:val="clear" w:color="auto" w:fill="FFFFFF"/>
        </w:rPr>
      </w:pPr>
      <w:r>
        <w:rPr>
          <w:color w:val="000000"/>
          <w:sz w:val="24"/>
          <w:shd w:val="clear" w:color="auto" w:fill="FFFFFF"/>
        </w:rPr>
        <w:t>（</w:t>
      </w:r>
      <w:r>
        <w:rPr>
          <w:rFonts w:hint="eastAsia"/>
          <w:color w:val="000000"/>
          <w:sz w:val="24"/>
          <w:shd w:val="clear" w:color="auto" w:fill="FFFFFF"/>
        </w:rPr>
        <w:t>二</w:t>
      </w:r>
      <w:r>
        <w:rPr>
          <w:color w:val="000000"/>
          <w:sz w:val="24"/>
          <w:shd w:val="clear" w:color="auto" w:fill="FFFFFF"/>
        </w:rPr>
        <w:t>）简答题（3题，每题5分，共15分）</w:t>
      </w:r>
    </w:p>
    <w:p w14:paraId="602D7938">
      <w:pPr>
        <w:shd w:val="solid" w:color="FFFFFF" w:fill="auto"/>
        <w:autoSpaceDN w:val="0"/>
        <w:adjustRightInd w:val="0"/>
        <w:snapToGrid w:val="0"/>
        <w:rPr>
          <w:color w:val="000000"/>
          <w:sz w:val="24"/>
          <w:shd w:val="clear" w:color="auto" w:fill="FFFFFF"/>
        </w:rPr>
      </w:pPr>
      <w:r>
        <w:rPr>
          <w:color w:val="000000"/>
          <w:sz w:val="24"/>
          <w:shd w:val="clear" w:color="auto" w:fill="FFFFFF"/>
        </w:rPr>
        <w:t>（</w:t>
      </w:r>
      <w:r>
        <w:rPr>
          <w:rFonts w:hint="eastAsia"/>
          <w:color w:val="000000"/>
          <w:sz w:val="24"/>
          <w:shd w:val="clear" w:color="auto" w:fill="FFFFFF"/>
        </w:rPr>
        <w:t>三</w:t>
      </w:r>
      <w:r>
        <w:rPr>
          <w:color w:val="000000"/>
          <w:sz w:val="24"/>
          <w:shd w:val="clear" w:color="auto" w:fill="FFFFFF"/>
        </w:rPr>
        <w:t>）实务题（4题，每题10分，共40分）</w:t>
      </w:r>
    </w:p>
    <w:p w14:paraId="39084982">
      <w:pPr>
        <w:shd w:val="solid" w:color="FFFFFF" w:fill="auto"/>
        <w:autoSpaceDN w:val="0"/>
        <w:adjustRightInd w:val="0"/>
        <w:snapToGrid w:val="0"/>
        <w:rPr>
          <w:color w:val="000000"/>
          <w:sz w:val="24"/>
          <w:shd w:val="clear" w:color="auto" w:fill="FFFFFF"/>
        </w:rPr>
      </w:pPr>
      <w:r>
        <w:rPr>
          <w:color w:val="000000"/>
          <w:sz w:val="24"/>
          <w:shd w:val="clear" w:color="auto" w:fill="FFFFFF"/>
        </w:rPr>
        <w:t>（</w:t>
      </w:r>
      <w:r>
        <w:rPr>
          <w:rFonts w:hint="eastAsia"/>
          <w:color w:val="000000"/>
          <w:sz w:val="24"/>
          <w:shd w:val="clear" w:color="auto" w:fill="FFFFFF"/>
        </w:rPr>
        <w:t>四</w:t>
      </w:r>
      <w:r>
        <w:rPr>
          <w:color w:val="000000"/>
          <w:sz w:val="24"/>
          <w:shd w:val="clear" w:color="auto" w:fill="FFFFFF"/>
        </w:rPr>
        <w:t>）论述题（2题，每题15分，共30分）</w:t>
      </w:r>
    </w:p>
    <w:p w14:paraId="696C9536">
      <w:pPr>
        <w:shd w:val="solid" w:color="FFFFFF" w:fill="auto"/>
        <w:autoSpaceDN w:val="0"/>
        <w:adjustRightInd w:val="0"/>
        <w:snapToGrid w:val="0"/>
        <w:rPr>
          <w:color w:val="000000"/>
          <w:sz w:val="24"/>
          <w:shd w:val="clear" w:color="auto" w:fill="FFFFFF"/>
        </w:rPr>
      </w:pPr>
    </w:p>
    <w:p w14:paraId="054093CE">
      <w:pPr>
        <w:shd w:val="solid" w:color="FFFFFF" w:fill="auto"/>
        <w:autoSpaceDN w:val="0"/>
        <w:adjustRightInd w:val="0"/>
        <w:snapToGrid w:val="0"/>
        <w:rPr>
          <w:color w:val="000000"/>
          <w:sz w:val="24"/>
          <w:shd w:val="clear" w:color="auto" w:fill="FFFFFF"/>
        </w:rPr>
      </w:pPr>
      <w:r>
        <w:rPr>
          <w:color w:val="000000"/>
          <w:sz w:val="24"/>
          <w:shd w:val="clear" w:color="auto" w:fill="FFFFFF"/>
        </w:rPr>
        <w:t>参考书目：</w:t>
      </w:r>
    </w:p>
    <w:p w14:paraId="247531D0">
      <w:pPr>
        <w:shd w:val="solid" w:color="FFFFFF" w:fill="auto"/>
        <w:autoSpaceDN w:val="0"/>
        <w:adjustRightInd w:val="0"/>
        <w:snapToGrid w:val="0"/>
        <w:rPr>
          <w:color w:val="000000"/>
          <w:sz w:val="24"/>
          <w:shd w:val="clear" w:color="auto" w:fill="FFFFFF"/>
        </w:rPr>
      </w:pPr>
      <w:bookmarkStart w:id="1" w:name="OLE_LINK2"/>
      <w:r>
        <w:rPr>
          <w:color w:val="000000"/>
          <w:sz w:val="24"/>
          <w:shd w:val="clear" w:color="auto" w:fill="FFFFFF"/>
        </w:rPr>
        <w:t>刘永泽、陈立军主编：《中级财务会计》第</w:t>
      </w:r>
      <w:r>
        <w:rPr>
          <w:rFonts w:hint="eastAsia"/>
          <w:color w:val="000000"/>
          <w:sz w:val="24"/>
          <w:shd w:val="clear" w:color="auto" w:fill="FFFFFF"/>
          <w:lang w:val="en-US" w:eastAsia="zh-CN"/>
        </w:rPr>
        <w:t>8</w:t>
      </w:r>
      <w:r>
        <w:rPr>
          <w:color w:val="000000"/>
          <w:sz w:val="24"/>
          <w:shd w:val="clear" w:color="auto" w:fill="FFFFFF"/>
        </w:rPr>
        <w:t>版，东北财经大学出版社，202</w:t>
      </w:r>
      <w:r>
        <w:rPr>
          <w:rFonts w:hint="eastAsia"/>
          <w:color w:val="000000"/>
          <w:sz w:val="24"/>
          <w:shd w:val="clear" w:color="auto" w:fill="FFFFFF"/>
          <w:lang w:val="en-US" w:eastAsia="zh-CN"/>
        </w:rPr>
        <w:t>4</w:t>
      </w:r>
      <w:r>
        <w:rPr>
          <w:color w:val="000000"/>
          <w:sz w:val="24"/>
          <w:shd w:val="clear" w:color="auto" w:fill="FFFFFF"/>
        </w:rPr>
        <w:t>年</w:t>
      </w:r>
      <w:r>
        <w:rPr>
          <w:rFonts w:hint="eastAsia"/>
          <w:color w:val="000000"/>
          <w:sz w:val="24"/>
          <w:shd w:val="clear" w:color="auto" w:fill="FFFFFF"/>
        </w:rPr>
        <w:t>（出版社联系电话：</w:t>
      </w:r>
      <w:r>
        <w:rPr>
          <w:color w:val="000000"/>
          <w:sz w:val="24"/>
          <w:shd w:val="clear" w:color="auto" w:fill="FFFFFF"/>
        </w:rPr>
        <w:t>0411-84710711</w:t>
      </w:r>
      <w:r>
        <w:rPr>
          <w:rFonts w:hint="eastAsia"/>
          <w:color w:val="000000"/>
          <w:sz w:val="24"/>
          <w:shd w:val="clear" w:color="auto" w:fill="FFFFFF"/>
        </w:rPr>
        <w:t>）</w:t>
      </w:r>
    </w:p>
    <w:p w14:paraId="7189D9C3">
      <w:pPr>
        <w:shd w:val="solid" w:color="FFFFFF" w:fill="auto"/>
        <w:autoSpaceDN w:val="0"/>
        <w:adjustRightInd w:val="0"/>
        <w:snapToGrid w:val="0"/>
        <w:rPr>
          <w:color w:val="000000"/>
          <w:sz w:val="24"/>
          <w:shd w:val="clear" w:color="auto" w:fill="FFFFFF"/>
        </w:rPr>
      </w:pPr>
      <w:r>
        <w:rPr>
          <w:rFonts w:hint="eastAsia"/>
          <w:color w:val="000000"/>
          <w:sz w:val="24"/>
          <w:shd w:val="clear" w:color="auto" w:fill="FFFFFF"/>
        </w:rPr>
        <w:t>张阳等编著：《财务管理与实务数字应用》第1版，中国时代经济出版社，2024年（出版社联系电话：010-63508258）</w:t>
      </w:r>
    </w:p>
    <w:bookmarkEnd w:id="1"/>
    <w:p w14:paraId="523B679A">
      <w:pPr>
        <w:shd w:val="solid" w:color="FFFFFF" w:fill="auto"/>
        <w:autoSpaceDN w:val="0"/>
        <w:adjustRightInd w:val="0"/>
        <w:snapToGrid w:val="0"/>
        <w:rPr>
          <w:rFonts w:hint="eastAsia"/>
          <w:color w:val="000000"/>
          <w:sz w:val="24"/>
          <w:shd w:val="clear" w:color="auto" w:fill="FFFFFF"/>
        </w:rPr>
      </w:pPr>
      <w:r>
        <w:rPr>
          <w:color w:val="000000"/>
          <w:sz w:val="24"/>
          <w:shd w:val="clear" w:color="auto" w:fill="FFFFFF"/>
        </w:rPr>
        <w:t>刘明辉、</w:t>
      </w:r>
      <w:r>
        <w:rPr>
          <w:rFonts w:hint="eastAsia"/>
          <w:color w:val="000000"/>
          <w:sz w:val="24"/>
          <w:shd w:val="clear" w:color="auto" w:fill="FFFFFF"/>
          <w:lang w:val="en-US" w:eastAsia="zh-CN"/>
        </w:rPr>
        <w:t>祁渊、张婷婷</w:t>
      </w:r>
      <w:r>
        <w:rPr>
          <w:color w:val="000000"/>
          <w:sz w:val="24"/>
          <w:shd w:val="clear" w:color="auto" w:fill="FFFFFF"/>
        </w:rPr>
        <w:t>主编：《审计》第</w:t>
      </w:r>
      <w:r>
        <w:rPr>
          <w:rFonts w:hint="eastAsia"/>
          <w:color w:val="000000"/>
          <w:sz w:val="24"/>
          <w:shd w:val="clear" w:color="auto" w:fill="FFFFFF"/>
          <w:lang w:val="en-US" w:eastAsia="zh-CN"/>
        </w:rPr>
        <w:t>9</w:t>
      </w:r>
      <w:r>
        <w:rPr>
          <w:color w:val="000000"/>
          <w:sz w:val="24"/>
          <w:shd w:val="clear" w:color="auto" w:fill="FFFFFF"/>
        </w:rPr>
        <w:t>版，东北财经大学出版社，20</w:t>
      </w:r>
      <w:r>
        <w:rPr>
          <w:rFonts w:hint="eastAsia"/>
          <w:color w:val="000000"/>
          <w:sz w:val="24"/>
          <w:shd w:val="clear" w:color="auto" w:fill="FFFFFF"/>
        </w:rPr>
        <w:t>2</w:t>
      </w:r>
      <w:r>
        <w:rPr>
          <w:rFonts w:hint="eastAsia"/>
          <w:color w:val="000000"/>
          <w:sz w:val="24"/>
          <w:shd w:val="clear" w:color="auto" w:fill="FFFFFF"/>
          <w:lang w:val="en-US" w:eastAsia="zh-CN"/>
        </w:rPr>
        <w:t>4</w:t>
      </w:r>
      <w:r>
        <w:rPr>
          <w:color w:val="000000"/>
          <w:sz w:val="24"/>
          <w:shd w:val="clear" w:color="auto" w:fill="FFFFFF"/>
        </w:rPr>
        <w:t>年</w:t>
      </w:r>
      <w:r>
        <w:rPr>
          <w:rFonts w:hint="eastAsia"/>
          <w:color w:val="000000"/>
          <w:sz w:val="24"/>
          <w:shd w:val="clear" w:color="auto" w:fill="FFFFFF"/>
        </w:rPr>
        <w:t>（出版社联系电话：</w:t>
      </w:r>
      <w:r>
        <w:rPr>
          <w:color w:val="000000"/>
          <w:sz w:val="24"/>
          <w:shd w:val="clear" w:color="auto" w:fill="FFFFFF"/>
        </w:rPr>
        <w:t>0411-84710711</w:t>
      </w:r>
      <w:r>
        <w:rPr>
          <w:rFonts w:hint="eastAsia"/>
          <w:color w:val="000000"/>
          <w:sz w:val="24"/>
          <w:shd w:val="clear" w:color="auto" w:fill="FFFFFF"/>
        </w:rPr>
        <w:t>）</w:t>
      </w:r>
    </w:p>
    <w:p w14:paraId="0ACBEC4B">
      <w:pPr>
        <w:shd w:val="solid" w:color="FFFFFF" w:fill="auto"/>
        <w:autoSpaceDN w:val="0"/>
        <w:adjustRightInd w:val="0"/>
        <w:snapToGrid w:val="0"/>
        <w:rPr>
          <w:rFonts w:hint="eastAsia"/>
          <w:color w:val="000000"/>
          <w:sz w:val="24"/>
          <w:shd w:val="clear" w:color="auto" w:fill="FFFFFF"/>
        </w:rPr>
      </w:pPr>
    </w:p>
    <w:p w14:paraId="71702392">
      <w:pPr>
        <w:shd w:val="solid" w:color="FFFFFF" w:fill="auto"/>
        <w:autoSpaceDN w:val="0"/>
        <w:adjustRightInd w:val="0"/>
        <w:snapToGrid w:val="0"/>
        <w:rPr>
          <w:color w:val="000000"/>
          <w:sz w:val="24"/>
          <w:shd w:val="clear" w:color="auto" w:fill="FFFFFF"/>
        </w:rPr>
      </w:pPr>
      <w:r>
        <w:rPr>
          <w:color w:val="000000"/>
          <w:sz w:val="24"/>
          <w:shd w:val="clear" w:color="auto" w:fill="FFFFFF"/>
        </w:rPr>
        <w:t>同等学力加试科目：1.中级财务会计学（100分）  2.财务管理（100分）</w:t>
      </w:r>
    </w:p>
    <w:p w14:paraId="46E58A2F">
      <w:pPr>
        <w:shd w:val="solid" w:color="FFFFFF" w:fill="auto"/>
        <w:autoSpaceDN w:val="0"/>
        <w:adjustRightInd w:val="0"/>
        <w:snapToGrid w:val="0"/>
        <w:rPr>
          <w:color w:val="000000"/>
          <w:sz w:val="24"/>
          <w:shd w:val="clear" w:color="auto" w:fill="FFFFFF"/>
        </w:rPr>
      </w:pPr>
    </w:p>
    <w:p w14:paraId="27C3D3ED">
      <w:pPr>
        <w:adjustRightInd w:val="0"/>
        <w:snapToGrid w:val="0"/>
        <w:rPr>
          <w:rFonts w:ascii="宋体" w:hAnsi="宋体"/>
          <w:b/>
          <w:sz w:val="24"/>
          <w:szCs w:val="20"/>
        </w:rPr>
      </w:pPr>
      <w:r>
        <w:rPr>
          <w:rFonts w:hint="eastAsia" w:ascii="宋体" w:hAnsi="宋体"/>
          <w:b/>
          <w:sz w:val="24"/>
          <w:szCs w:val="20"/>
        </w:rPr>
        <w:t>考试大纲</w:t>
      </w:r>
    </w:p>
    <w:p w14:paraId="4BC0EABF">
      <w:pPr>
        <w:adjustRightInd w:val="0"/>
        <w:snapToGrid w:val="0"/>
        <w:jc w:val="center"/>
        <w:rPr>
          <w:rFonts w:ascii="宋体" w:hAnsi="宋体" w:cs="宋体"/>
          <w:b/>
          <w:bCs/>
          <w:kern w:val="0"/>
          <w:sz w:val="24"/>
        </w:rPr>
      </w:pPr>
      <w:r>
        <w:rPr>
          <w:rFonts w:hint="eastAsia" w:ascii="宋体" w:hAnsi="宋体" w:cs="宋体"/>
          <w:b/>
          <w:color w:val="000000"/>
          <w:kern w:val="0"/>
          <w:sz w:val="24"/>
        </w:rPr>
        <w:t xml:space="preserve">    </w:t>
      </w:r>
      <w:r>
        <w:rPr>
          <w:rFonts w:hint="eastAsia" w:ascii="黑体" w:hAnsi="宋体" w:eastAsia="黑体"/>
          <w:b/>
          <w:sz w:val="36"/>
          <w:szCs w:val="21"/>
        </w:rPr>
        <w:t>《会计综合知识》</w:t>
      </w:r>
    </w:p>
    <w:p w14:paraId="0FAF4F0D">
      <w:pPr>
        <w:adjustRightInd w:val="0"/>
        <w:snapToGrid w:val="0"/>
        <w:rPr>
          <w:rFonts w:ascii="宋体" w:hAnsi="宋体" w:cs="宋体"/>
          <w:b/>
          <w:color w:val="000000"/>
          <w:kern w:val="0"/>
          <w:sz w:val="24"/>
        </w:rPr>
      </w:pPr>
    </w:p>
    <w:p w14:paraId="6187AE67">
      <w:pPr>
        <w:adjustRightInd w:val="0"/>
        <w:snapToGrid w:val="0"/>
        <w:rPr>
          <w:rFonts w:ascii="宋体" w:hAnsi="宋体" w:cs="宋体"/>
          <w:b/>
          <w:color w:val="000000"/>
          <w:kern w:val="0"/>
          <w:sz w:val="24"/>
        </w:rPr>
      </w:pPr>
      <w:r>
        <w:rPr>
          <w:rFonts w:hint="eastAsia" w:ascii="宋体" w:hAnsi="宋体" w:cs="宋体"/>
          <w:b/>
          <w:color w:val="000000"/>
          <w:kern w:val="0"/>
          <w:sz w:val="24"/>
        </w:rPr>
        <w:t>《会计综合知识》考试大纲概述：</w:t>
      </w:r>
    </w:p>
    <w:p w14:paraId="25609D90">
      <w:pPr>
        <w:widowControl/>
        <w:snapToGrid w:val="0"/>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本科目考试内容包括财务会计、管理会计、财务管理、审计四大部分。</w:t>
      </w:r>
    </w:p>
    <w:p w14:paraId="6D062C39">
      <w:pPr>
        <w:widowControl/>
        <w:snapToGrid w:val="0"/>
        <w:rPr>
          <w:rFonts w:ascii="宋体" w:hAnsi="宋体" w:cs="宋体"/>
          <w:b/>
          <w:bCs/>
          <w:color w:val="000000"/>
          <w:sz w:val="24"/>
          <w:shd w:val="clear" w:color="auto" w:fill="FFFFFF"/>
        </w:rPr>
      </w:pPr>
    </w:p>
    <w:p w14:paraId="133D62E9">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第一部分</w:t>
      </w:r>
      <w:r>
        <w:rPr>
          <w:rFonts w:ascii="宋体" w:hAnsi="宋体" w:cs="宋体"/>
          <w:b/>
          <w:bCs/>
          <w:color w:val="000000"/>
          <w:sz w:val="24"/>
          <w:shd w:val="clear" w:color="auto" w:fill="FFFFFF"/>
        </w:rPr>
        <w:t xml:space="preserve">  </w:t>
      </w:r>
      <w:r>
        <w:rPr>
          <w:rFonts w:hint="eastAsia" w:ascii="宋体" w:hAnsi="宋体" w:cs="宋体"/>
          <w:b/>
          <w:bCs/>
          <w:color w:val="000000"/>
          <w:sz w:val="24"/>
          <w:shd w:val="clear" w:color="auto" w:fill="FFFFFF"/>
        </w:rPr>
        <w:t>财务会计</w:t>
      </w:r>
    </w:p>
    <w:p w14:paraId="1AF3B958">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一、总论</w:t>
      </w:r>
    </w:p>
    <w:p w14:paraId="28CD5C67">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财务会计报告的目标</w:t>
      </w:r>
    </w:p>
    <w:p w14:paraId="770BA9E3">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会计基本假设与会计基础</w:t>
      </w:r>
    </w:p>
    <w:p w14:paraId="39FC8940">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会计信息质量要求</w:t>
      </w:r>
    </w:p>
    <w:p w14:paraId="66FC8105">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会计要素及其确认与计量</w:t>
      </w:r>
    </w:p>
    <w:p w14:paraId="6056317E">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财务会计报告的组成</w:t>
      </w:r>
    </w:p>
    <w:p w14:paraId="064A3F9B">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二、金融资产</w:t>
      </w:r>
    </w:p>
    <w:p w14:paraId="6DB55A6E">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金融资产及其分类</w:t>
      </w:r>
    </w:p>
    <w:p w14:paraId="65AB04B0">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交易性金融资产</w:t>
      </w:r>
    </w:p>
    <w:p w14:paraId="78CA478A">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债权投资</w:t>
      </w:r>
    </w:p>
    <w:p w14:paraId="0AFF2DD1">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应收款项</w:t>
      </w:r>
    </w:p>
    <w:p w14:paraId="445098C1">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其他金融工具投资</w:t>
      </w:r>
    </w:p>
    <w:p w14:paraId="47ACF910">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金融资产的重分类</w:t>
      </w:r>
    </w:p>
    <w:p w14:paraId="6CDCD1AE">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金融资产减值</w:t>
      </w:r>
    </w:p>
    <w:p w14:paraId="1FEA6E79">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三、存货</w:t>
      </w:r>
    </w:p>
    <w:p w14:paraId="7AD8D58D">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存货的确认和初始计量</w:t>
      </w:r>
    </w:p>
    <w:p w14:paraId="4789DCB7">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发出存货成本的计量</w:t>
      </w:r>
    </w:p>
    <w:p w14:paraId="2C37942C">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期末存货的计量</w:t>
      </w:r>
    </w:p>
    <w:p w14:paraId="5D725009">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四、长期股权投资</w:t>
      </w:r>
    </w:p>
    <w:p w14:paraId="6CC4E9F1">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长期股权投资的确认和初始计量</w:t>
      </w:r>
    </w:p>
    <w:p w14:paraId="7B64D6E8">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长期股权投资的后续计量</w:t>
      </w:r>
    </w:p>
    <w:p w14:paraId="0A6A7D92">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五、固定资产</w:t>
      </w:r>
    </w:p>
    <w:p w14:paraId="0063E086">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固定资产的确认和初始计量</w:t>
      </w:r>
    </w:p>
    <w:p w14:paraId="55C7C320">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固定资产的后续计量</w:t>
      </w:r>
    </w:p>
    <w:p w14:paraId="0AE4CF6E">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固定资产的处置</w:t>
      </w:r>
    </w:p>
    <w:p w14:paraId="3F43B94B">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六、无形资产</w:t>
      </w:r>
    </w:p>
    <w:p w14:paraId="147948E3">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无形资产的确认和初始计量</w:t>
      </w:r>
    </w:p>
    <w:p w14:paraId="271790BB">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内部研究与开发支出的确认和计量</w:t>
      </w:r>
    </w:p>
    <w:p w14:paraId="1782494F">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无形资产的后续计量</w:t>
      </w:r>
    </w:p>
    <w:p w14:paraId="36CDDD9F">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无形资产的处置</w:t>
      </w:r>
    </w:p>
    <w:p w14:paraId="122A71E4">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七、负债</w:t>
      </w:r>
    </w:p>
    <w:p w14:paraId="1DF08F03">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流动负债</w:t>
      </w:r>
    </w:p>
    <w:p w14:paraId="7272170D">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非流动负债</w:t>
      </w:r>
    </w:p>
    <w:p w14:paraId="52318F9E">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八、所有者权益</w:t>
      </w:r>
    </w:p>
    <w:p w14:paraId="677D2CFA">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实收资本（股本）</w:t>
      </w:r>
    </w:p>
    <w:p w14:paraId="5CCE9BF7">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资本公积</w:t>
      </w:r>
    </w:p>
    <w:p w14:paraId="104C8DFE">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其他综合收益</w:t>
      </w:r>
    </w:p>
    <w:p w14:paraId="260D6568">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留存收益</w:t>
      </w:r>
    </w:p>
    <w:p w14:paraId="1FB67453">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九、收入、费用和利润</w:t>
      </w:r>
    </w:p>
    <w:p w14:paraId="5071EB0C">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收入</w:t>
      </w:r>
    </w:p>
    <w:p w14:paraId="5C3CD19F">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费用</w:t>
      </w:r>
    </w:p>
    <w:p w14:paraId="12A42159">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直接计入当期利润的利得</w:t>
      </w:r>
    </w:p>
    <w:p w14:paraId="023204F7">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直接计入当期利润的损失</w:t>
      </w:r>
    </w:p>
    <w:p w14:paraId="496BBAFF">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利润</w:t>
      </w:r>
    </w:p>
    <w:p w14:paraId="6FF8B1FB">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十、财务报告</w:t>
      </w:r>
    </w:p>
    <w:p w14:paraId="1556DF2E">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财务报告概述</w:t>
      </w:r>
    </w:p>
    <w:p w14:paraId="51CA7BB1">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资产负债表</w:t>
      </w:r>
    </w:p>
    <w:p w14:paraId="2D197A67">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利润表</w:t>
      </w:r>
    </w:p>
    <w:p w14:paraId="655A4921">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现金流量表</w:t>
      </w:r>
    </w:p>
    <w:p w14:paraId="4A83AE84">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所有者权益变动表</w:t>
      </w:r>
    </w:p>
    <w:p w14:paraId="72681D7E">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附注</w:t>
      </w:r>
    </w:p>
    <w:p w14:paraId="25802F8D">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十一、或有事项</w:t>
      </w:r>
    </w:p>
    <w:p w14:paraId="7397DBE1">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或有事项概述</w:t>
      </w:r>
    </w:p>
    <w:p w14:paraId="67B81612">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或有事项的确认和计量</w:t>
      </w:r>
    </w:p>
    <w:p w14:paraId="64306141">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或有事项的列报</w:t>
      </w:r>
    </w:p>
    <w:p w14:paraId="569B2684">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十二、资产负债表日后事项</w:t>
      </w:r>
    </w:p>
    <w:p w14:paraId="22258B70">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资产负债表日后事项概述</w:t>
      </w:r>
    </w:p>
    <w:p w14:paraId="4B262D96">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调整事项的会计处理</w:t>
      </w:r>
    </w:p>
    <w:p w14:paraId="4B0D3DA2">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非调整事项的会计处理</w:t>
      </w:r>
    </w:p>
    <w:p w14:paraId="1DE46FD0">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十三、会计政策、会计估计变更和差错更正</w:t>
      </w:r>
    </w:p>
    <w:p w14:paraId="23118AE1">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会计政策及其变更</w:t>
      </w:r>
    </w:p>
    <w:p w14:paraId="52B008F4">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会计估计及其变更</w:t>
      </w:r>
    </w:p>
    <w:p w14:paraId="0BC0E7BF">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前期差错及其更正</w:t>
      </w:r>
    </w:p>
    <w:p w14:paraId="79DE42DA">
      <w:pPr>
        <w:widowControl/>
        <w:snapToGrid w:val="0"/>
        <w:rPr>
          <w:rFonts w:ascii="宋体" w:hAnsi="宋体" w:cs="宋体"/>
          <w:color w:val="000000"/>
          <w:sz w:val="24"/>
          <w:shd w:val="clear" w:color="auto" w:fill="FFFFFF"/>
        </w:rPr>
      </w:pPr>
      <w:r>
        <w:rPr>
          <w:rFonts w:ascii="宋体" w:hAnsi="宋体" w:cs="宋体"/>
          <w:color w:val="000000"/>
          <w:sz w:val="24"/>
          <w:shd w:val="clear" w:color="auto" w:fill="FFFFFF"/>
        </w:rPr>
        <w:t xml:space="preserve"> </w:t>
      </w:r>
    </w:p>
    <w:p w14:paraId="37862E65">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第二部分</w:t>
      </w:r>
      <w:r>
        <w:rPr>
          <w:rFonts w:ascii="宋体" w:hAnsi="宋体" w:cs="宋体"/>
          <w:b/>
          <w:bCs/>
          <w:color w:val="000000"/>
          <w:sz w:val="24"/>
          <w:shd w:val="clear" w:color="auto" w:fill="FFFFFF"/>
        </w:rPr>
        <w:t xml:space="preserve">  </w:t>
      </w:r>
      <w:r>
        <w:rPr>
          <w:rFonts w:hint="eastAsia" w:ascii="宋体" w:hAnsi="宋体" w:cs="宋体"/>
          <w:b/>
          <w:bCs/>
          <w:color w:val="000000"/>
          <w:sz w:val="24"/>
          <w:shd w:val="clear" w:color="auto" w:fill="FFFFFF"/>
        </w:rPr>
        <w:t>管理会计</w:t>
      </w:r>
    </w:p>
    <w:p w14:paraId="48960495">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一、总论</w:t>
      </w:r>
    </w:p>
    <w:p w14:paraId="178FCE5C">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管理会计与财务会计的区别与联系</w:t>
      </w:r>
    </w:p>
    <w:p w14:paraId="3CEF57B7">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成本的概念和分类</w:t>
      </w:r>
    </w:p>
    <w:p w14:paraId="22E9EBEC">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二、产品成本核算方法</w:t>
      </w:r>
    </w:p>
    <w:p w14:paraId="2F91A332">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产品成本计算概述</w:t>
      </w:r>
    </w:p>
    <w:p w14:paraId="52128304">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成本的归集与分配</w:t>
      </w:r>
    </w:p>
    <w:p w14:paraId="66D787A6">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产品成本计算的品种法</w:t>
      </w:r>
    </w:p>
    <w:p w14:paraId="0323E14B">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产品成本计算的分批法</w:t>
      </w:r>
    </w:p>
    <w:p w14:paraId="494F03B2">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产品成本计算的分步法</w:t>
      </w:r>
    </w:p>
    <w:p w14:paraId="7043F6E1">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作业成本法</w:t>
      </w:r>
    </w:p>
    <w:p w14:paraId="1501F418">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三、成本分析与成本管理</w:t>
      </w:r>
    </w:p>
    <w:p w14:paraId="25EAD2FA">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成本性态分析</w:t>
      </w:r>
    </w:p>
    <w:p w14:paraId="72B09B34">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变动成本法</w:t>
      </w:r>
    </w:p>
    <w:p w14:paraId="09078167">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成本管理方法</w:t>
      </w:r>
    </w:p>
    <w:p w14:paraId="12517A2C">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四、经营决策分析</w:t>
      </w:r>
    </w:p>
    <w:p w14:paraId="3420D3FE">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经营决策分析的基本方法</w:t>
      </w:r>
    </w:p>
    <w:p w14:paraId="2F34F5BB">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本量利分析</w:t>
      </w:r>
    </w:p>
    <w:p w14:paraId="6787A738">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经营决策中的成本概念运用</w:t>
      </w:r>
    </w:p>
    <w:p w14:paraId="1AECBBD1">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经营决策中的生产组织与外包</w:t>
      </w:r>
    </w:p>
    <w:p w14:paraId="79EE2B30">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经营决策中的产能利用与存货</w:t>
      </w:r>
    </w:p>
    <w:p w14:paraId="56426E27">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五、全面预算管理</w:t>
      </w:r>
    </w:p>
    <w:p w14:paraId="2AAE4EB4">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全面预算概述</w:t>
      </w:r>
    </w:p>
    <w:p w14:paraId="3BE57D0D">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全面预算的类型与编制方法</w:t>
      </w:r>
    </w:p>
    <w:p w14:paraId="0D56BFC2">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营业预算的编制</w:t>
      </w:r>
    </w:p>
    <w:p w14:paraId="2429A2F8">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财务预算的编制</w:t>
      </w:r>
    </w:p>
    <w:p w14:paraId="051EC62E">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预算实施与管理</w:t>
      </w:r>
    </w:p>
    <w:p w14:paraId="5610A91C">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预算结果的考评与反馈</w:t>
      </w:r>
    </w:p>
    <w:p w14:paraId="0670F7F0">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六、责任会计</w:t>
      </w:r>
    </w:p>
    <w:p w14:paraId="38DEDF8B">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责任会计概述</w:t>
      </w:r>
    </w:p>
    <w:p w14:paraId="3E836D93">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责任中心的类型与基本原则</w:t>
      </w:r>
    </w:p>
    <w:p w14:paraId="1ED7201A">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责任会计的职能</w:t>
      </w:r>
    </w:p>
    <w:p w14:paraId="6B64DC4C">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责任会计体系与部门绩效考核</w:t>
      </w:r>
    </w:p>
    <w:p w14:paraId="3A2EA71F">
      <w:pPr>
        <w:widowControl/>
        <w:snapToGrid w:val="0"/>
        <w:rPr>
          <w:rFonts w:ascii="宋体" w:hAnsi="宋体" w:cs="宋体"/>
          <w:color w:val="000000"/>
          <w:sz w:val="24"/>
          <w:shd w:val="clear" w:color="auto" w:fill="FFFFFF"/>
        </w:rPr>
      </w:pPr>
      <w:r>
        <w:rPr>
          <w:rFonts w:ascii="宋体" w:hAnsi="宋体" w:cs="宋体"/>
          <w:color w:val="000000"/>
          <w:sz w:val="24"/>
          <w:shd w:val="clear" w:color="auto" w:fill="FFFFFF"/>
        </w:rPr>
        <w:t xml:space="preserve"> </w:t>
      </w:r>
    </w:p>
    <w:p w14:paraId="7D4A6BCD">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第三部分  财务管理</w:t>
      </w:r>
    </w:p>
    <w:p w14:paraId="3563F834">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一、财务管理概念基础</w:t>
      </w:r>
    </w:p>
    <w:p w14:paraId="75FDFCF7">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企业财务管理内容</w:t>
      </w:r>
    </w:p>
    <w:p w14:paraId="4B607F05">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企业财务管理目标</w:t>
      </w:r>
    </w:p>
    <w:p w14:paraId="027F9B32">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二、财务管理环境</w:t>
      </w:r>
    </w:p>
    <w:p w14:paraId="2BFA759B">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微观理财环境</w:t>
      </w:r>
    </w:p>
    <w:p w14:paraId="3AFFDEB1">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宏观理财环境</w:t>
      </w:r>
    </w:p>
    <w:p w14:paraId="31D6D311">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三、货币时间价值</w:t>
      </w:r>
    </w:p>
    <w:p w14:paraId="1F63A4D5">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货币时间价值观念与复利模型</w:t>
      </w:r>
    </w:p>
    <w:p w14:paraId="272F3EFE">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年金模型与商业应用</w:t>
      </w:r>
    </w:p>
    <w:p w14:paraId="718C2CBC">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 xml:space="preserve">四、风险与报酬 </w:t>
      </w:r>
    </w:p>
    <w:p w14:paraId="15265CBD">
      <w:pPr>
        <w:widowControl/>
        <w:snapToGrid w:val="0"/>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项目投资风险报酬分析</w:t>
      </w:r>
    </w:p>
    <w:p w14:paraId="3DB6589C">
      <w:pPr>
        <w:widowControl/>
        <w:snapToGrid w:val="0"/>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证券投资风险报酬分析</w:t>
      </w:r>
    </w:p>
    <w:p w14:paraId="67B48234">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 xml:space="preserve">五、筹资模式与资金成本 </w:t>
      </w:r>
    </w:p>
    <w:p w14:paraId="02B1745D">
      <w:pPr>
        <w:widowControl/>
        <w:snapToGrid w:val="0"/>
        <w:ind w:firstLine="480" w:firstLineChars="200"/>
        <w:rPr>
          <w:rFonts w:ascii="宋体" w:hAnsi="宋体" w:cs="宋体"/>
          <w:color w:val="000000"/>
          <w:sz w:val="24"/>
          <w:shd w:val="clear" w:color="auto" w:fill="FFFFFF"/>
        </w:rPr>
      </w:pPr>
      <w:r>
        <w:rPr>
          <w:rFonts w:hint="eastAsia" w:ascii="宋体" w:hAnsi="宋体" w:cs="宋体"/>
          <w:color w:val="000000"/>
          <w:sz w:val="24"/>
          <w:shd w:val="clear" w:color="auto" w:fill="FFFFFF"/>
        </w:rPr>
        <w:t>债务筹资模式与资金成本</w:t>
      </w:r>
    </w:p>
    <w:p w14:paraId="0D030CE5">
      <w:pPr>
        <w:widowControl/>
        <w:snapToGrid w:val="0"/>
        <w:ind w:firstLine="480" w:firstLineChars="200"/>
        <w:rPr>
          <w:rFonts w:ascii="宋体" w:hAnsi="宋体" w:cs="宋体"/>
          <w:color w:val="000000"/>
          <w:sz w:val="24"/>
          <w:shd w:val="clear" w:color="auto" w:fill="FFFFFF"/>
        </w:rPr>
      </w:pPr>
      <w:r>
        <w:rPr>
          <w:rFonts w:hint="eastAsia" w:ascii="宋体" w:hAnsi="宋体" w:cs="宋体"/>
          <w:color w:val="000000"/>
          <w:sz w:val="24"/>
          <w:shd w:val="clear" w:color="auto" w:fill="FFFFFF"/>
        </w:rPr>
        <w:t>股权筹资模式与资金成本</w:t>
      </w:r>
    </w:p>
    <w:p w14:paraId="09D684EB">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六、资本结构</w:t>
      </w:r>
    </w:p>
    <w:p w14:paraId="310C151B">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加权平均资本成本</w:t>
      </w:r>
    </w:p>
    <w:p w14:paraId="64133F39">
      <w:pPr>
        <w:widowControl/>
        <w:snapToGrid w:val="0"/>
        <w:ind w:firstLine="480" w:firstLineChars="200"/>
        <w:rPr>
          <w:rFonts w:ascii="宋体" w:hAnsi="宋体" w:cs="宋体"/>
          <w:color w:val="000000"/>
          <w:sz w:val="24"/>
          <w:shd w:val="clear" w:color="auto" w:fill="FFFFFF"/>
        </w:rPr>
      </w:pPr>
      <w:r>
        <w:rPr>
          <w:rFonts w:hint="eastAsia" w:ascii="宋体" w:hAnsi="宋体" w:cs="宋体"/>
          <w:color w:val="000000"/>
          <w:sz w:val="24"/>
          <w:shd w:val="clear" w:color="auto" w:fill="FFFFFF"/>
        </w:rPr>
        <w:t>杠杆原理与资本结构决策</w:t>
      </w:r>
    </w:p>
    <w:p w14:paraId="6BBFE885">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七、固定资产项目投资决策</w:t>
      </w:r>
    </w:p>
    <w:p w14:paraId="0E70D01C">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项目投资类型与决策程序</w:t>
      </w:r>
    </w:p>
    <w:p w14:paraId="6CD4E6C8">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项目投资的现金流量分析</w:t>
      </w:r>
    </w:p>
    <w:p w14:paraId="10CA637A">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项目投资决策的分析方法</w:t>
      </w:r>
    </w:p>
    <w:p w14:paraId="4D62833D">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八、流动资产项目投资管理</w:t>
      </w:r>
    </w:p>
    <w:p w14:paraId="14422080">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现金管理</w:t>
      </w:r>
    </w:p>
    <w:p w14:paraId="33F80362">
      <w:pPr>
        <w:widowControl/>
        <w:snapToGrid w:val="0"/>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应收账款管理</w:t>
      </w:r>
    </w:p>
    <w:p w14:paraId="273739E1">
      <w:pPr>
        <w:widowControl/>
        <w:snapToGrid w:val="0"/>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存货管理</w:t>
      </w:r>
    </w:p>
    <w:p w14:paraId="2562BFA1">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九、收益分配</w:t>
      </w:r>
    </w:p>
    <w:p w14:paraId="473C5CE9">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收益分配理论</w:t>
      </w:r>
    </w:p>
    <w:p w14:paraId="6344CC3F">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股利政策类型与影响因素</w:t>
      </w:r>
    </w:p>
    <w:p w14:paraId="2896C3A4">
      <w:pPr>
        <w:widowControl/>
        <w:snapToGrid w:val="0"/>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收益分配方案与程序</w:t>
      </w:r>
    </w:p>
    <w:p w14:paraId="7C8CE11D">
      <w:pPr>
        <w:widowControl/>
        <w:snapToGrid w:val="0"/>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股利支付类型</w:t>
      </w:r>
    </w:p>
    <w:p w14:paraId="17393E8C">
      <w:pPr>
        <w:widowControl/>
        <w:snapToGrid w:val="0"/>
        <w:rPr>
          <w:rFonts w:ascii="宋体" w:hAnsi="宋体" w:cs="宋体"/>
          <w:color w:val="000000"/>
          <w:sz w:val="24"/>
          <w:shd w:val="clear" w:color="auto" w:fill="FFFFFF"/>
        </w:rPr>
      </w:pPr>
      <w:r>
        <w:rPr>
          <w:rFonts w:ascii="宋体" w:hAnsi="宋体" w:cs="宋体"/>
          <w:color w:val="000000"/>
          <w:sz w:val="24"/>
          <w:shd w:val="clear" w:color="auto" w:fill="FFFFFF"/>
        </w:rPr>
        <w:t xml:space="preserve"> </w:t>
      </w:r>
    </w:p>
    <w:p w14:paraId="234C448A">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第四部分  审计</w:t>
      </w:r>
    </w:p>
    <w:p w14:paraId="1554AEF5">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一、总论</w:t>
      </w:r>
    </w:p>
    <w:p w14:paraId="4B88F257">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审计的定义和特征</w:t>
      </w:r>
    </w:p>
    <w:p w14:paraId="26ADBE37">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审计的职能和作用</w:t>
      </w:r>
    </w:p>
    <w:p w14:paraId="33E6AB2E">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审计的分类</w:t>
      </w:r>
    </w:p>
    <w:p w14:paraId="43372B67">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审计准则、职业道德和法律责任</w:t>
      </w:r>
    </w:p>
    <w:p w14:paraId="1AD818DF">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二、财务报表审计的核心概念</w:t>
      </w:r>
    </w:p>
    <w:p w14:paraId="3937DB05">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审计目标</w:t>
      </w:r>
    </w:p>
    <w:p w14:paraId="42EC7EE2">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重要性</w:t>
      </w:r>
    </w:p>
    <w:p w14:paraId="3AEE5996">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审计风险</w:t>
      </w:r>
    </w:p>
    <w:p w14:paraId="224E0F14">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审计证据</w:t>
      </w:r>
    </w:p>
    <w:p w14:paraId="3A800647">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审计程序</w:t>
      </w:r>
    </w:p>
    <w:p w14:paraId="4FD7D8C0">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三、财务报表审计的思路和步骤</w:t>
      </w:r>
    </w:p>
    <w:p w14:paraId="3B5CF510">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风险导向审计的基本思路</w:t>
      </w:r>
    </w:p>
    <w:p w14:paraId="01A93ADB">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风险评估</w:t>
      </w:r>
    </w:p>
    <w:p w14:paraId="2A8FD05B">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控制测试</w:t>
      </w:r>
    </w:p>
    <w:p w14:paraId="6E60CD02">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实质性程序</w:t>
      </w:r>
    </w:p>
    <w:p w14:paraId="03490E2F">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四、主要业务循环的审计</w:t>
      </w:r>
    </w:p>
    <w:p w14:paraId="0612C26A">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销售与收款循环的审计</w:t>
      </w:r>
    </w:p>
    <w:p w14:paraId="7C0BD52C">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采购与付款循环的审计</w:t>
      </w:r>
    </w:p>
    <w:p w14:paraId="103B9646">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生产与职工薪酬循环的审计</w:t>
      </w:r>
    </w:p>
    <w:p w14:paraId="2BF4D3B5">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筹资与投资循环的审计</w:t>
      </w:r>
    </w:p>
    <w:p w14:paraId="4345BAE6">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货币资金与特殊项目的审计</w:t>
      </w:r>
    </w:p>
    <w:p w14:paraId="42B9A4CA">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五、审计报告</w:t>
      </w:r>
    </w:p>
    <w:p w14:paraId="0131C29D">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审计意见的形成和类型</w:t>
      </w:r>
    </w:p>
    <w:p w14:paraId="14D035C8">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标准审计报告的结构和内容</w:t>
      </w:r>
    </w:p>
    <w:p w14:paraId="285EDEA4">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非标准审计报告的结构和内容</w:t>
      </w:r>
    </w:p>
    <w:p w14:paraId="71F67FB5">
      <w:pPr>
        <w:widowControl/>
        <w:adjustRightInd w:val="0"/>
        <w:snapToGrid w:val="0"/>
        <w:jc w:val="center"/>
        <w:rPr>
          <w:rFonts w:ascii="宋体" w:hAnsi="宋体" w:cs="宋体"/>
          <w:b/>
          <w:color w:val="000000"/>
          <w:kern w:val="0"/>
          <w:sz w:val="24"/>
        </w:rPr>
      </w:pPr>
    </w:p>
    <w:p w14:paraId="02591992">
      <w:pPr>
        <w:adjustRightInd w:val="0"/>
        <w:snapToGrid w:val="0"/>
        <w:jc w:val="center"/>
        <w:rPr>
          <w:rFonts w:ascii="黑体" w:hAnsi="宋体" w:eastAsia="黑体"/>
          <w:b/>
          <w:sz w:val="36"/>
          <w:szCs w:val="21"/>
        </w:rPr>
      </w:pPr>
      <w:r>
        <w:rPr>
          <w:rFonts w:hint="eastAsia" w:ascii="黑体" w:hAnsi="宋体" w:eastAsia="黑体"/>
          <w:b/>
          <w:sz w:val="36"/>
          <w:szCs w:val="21"/>
        </w:rPr>
        <w:t>F001-思想政治理论（开卷）</w:t>
      </w:r>
    </w:p>
    <w:p w14:paraId="12A0600C">
      <w:pPr>
        <w:adjustRightInd w:val="0"/>
        <w:snapToGrid w:val="0"/>
        <w:jc w:val="center"/>
        <w:rPr>
          <w:rFonts w:ascii="宋体" w:hAnsi="宋体" w:cs="宋体"/>
          <w:color w:val="000000"/>
          <w:sz w:val="24"/>
          <w:shd w:val="clear" w:color="auto" w:fill="FFFFFF"/>
        </w:rPr>
      </w:pPr>
    </w:p>
    <w:p w14:paraId="6AE3A5CC">
      <w:pPr>
        <w:widowControl/>
        <w:snapToGrid w:val="0"/>
        <w:ind w:firstLine="480" w:firstLineChars="200"/>
        <w:jc w:val="left"/>
        <w:rPr>
          <w:rFonts w:ascii="宋体" w:hAnsi="宋体" w:cs="宋体"/>
          <w:color w:val="000000"/>
          <w:sz w:val="24"/>
          <w:shd w:val="clear" w:color="auto" w:fill="FFFFFF"/>
        </w:rPr>
      </w:pPr>
      <w:r>
        <w:rPr>
          <w:rFonts w:hint="eastAsia" w:ascii="宋体" w:hAnsi="宋体" w:cs="宋体"/>
          <w:color w:val="000000"/>
          <w:sz w:val="24"/>
          <w:shd w:val="clear" w:color="auto" w:fill="FFFFFF"/>
        </w:rPr>
        <w:t>复试中进行考核。该科目采取笔试，开卷的方式，成绩折算计入复试总成绩。具体安排以学校公布的 《广东财经大学2025 年硕士研究生复试工作方案》为准。</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D6FD5">
    <w:pPr>
      <w:pStyle w:val="5"/>
      <w:jc w:val="center"/>
    </w:pPr>
    <w:r>
      <w:fldChar w:fldCharType="begin"/>
    </w:r>
    <w:r>
      <w:instrText xml:space="preserve">PAGE   \* MERGEFORMAT</w:instrText>
    </w:r>
    <w:r>
      <w:fldChar w:fldCharType="separate"/>
    </w:r>
    <w:r>
      <w:rPr>
        <w:lang w:val="zh-CN"/>
      </w:rPr>
      <w:t>3</w:t>
    </w:r>
    <w:r>
      <w:fldChar w:fldCharType="end"/>
    </w:r>
  </w:p>
  <w:p w14:paraId="72106E50">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5ZDA3MTQ3OGY1NGEwNWNmYzY4MTYzMGJiNjQzYjUifQ=="/>
  </w:docVars>
  <w:rsids>
    <w:rsidRoot w:val="002C0024"/>
    <w:rsid w:val="0003216C"/>
    <w:rsid w:val="000730AF"/>
    <w:rsid w:val="000950DE"/>
    <w:rsid w:val="000D1C51"/>
    <w:rsid w:val="000E1F7D"/>
    <w:rsid w:val="000F0C8D"/>
    <w:rsid w:val="00113E7C"/>
    <w:rsid w:val="001569E1"/>
    <w:rsid w:val="00173C64"/>
    <w:rsid w:val="00195BC7"/>
    <w:rsid w:val="001E5EA3"/>
    <w:rsid w:val="00241695"/>
    <w:rsid w:val="00253B0C"/>
    <w:rsid w:val="00267130"/>
    <w:rsid w:val="00274851"/>
    <w:rsid w:val="00281C62"/>
    <w:rsid w:val="0028474A"/>
    <w:rsid w:val="00294A1C"/>
    <w:rsid w:val="002B1587"/>
    <w:rsid w:val="002C0024"/>
    <w:rsid w:val="002C65D5"/>
    <w:rsid w:val="00306F0C"/>
    <w:rsid w:val="00307B07"/>
    <w:rsid w:val="00312169"/>
    <w:rsid w:val="00313823"/>
    <w:rsid w:val="00313B5C"/>
    <w:rsid w:val="00321816"/>
    <w:rsid w:val="0033311E"/>
    <w:rsid w:val="003924A8"/>
    <w:rsid w:val="003B0AE9"/>
    <w:rsid w:val="003B5F8D"/>
    <w:rsid w:val="003E0D06"/>
    <w:rsid w:val="004029FC"/>
    <w:rsid w:val="00446300"/>
    <w:rsid w:val="004533C5"/>
    <w:rsid w:val="00460F55"/>
    <w:rsid w:val="00494536"/>
    <w:rsid w:val="004F125C"/>
    <w:rsid w:val="004F1909"/>
    <w:rsid w:val="0050035D"/>
    <w:rsid w:val="0052007E"/>
    <w:rsid w:val="005347C6"/>
    <w:rsid w:val="00563715"/>
    <w:rsid w:val="005A7E70"/>
    <w:rsid w:val="005B26BF"/>
    <w:rsid w:val="005E37E6"/>
    <w:rsid w:val="00626BDE"/>
    <w:rsid w:val="006371B0"/>
    <w:rsid w:val="0064274A"/>
    <w:rsid w:val="00644AD4"/>
    <w:rsid w:val="006638D6"/>
    <w:rsid w:val="00670985"/>
    <w:rsid w:val="00680C52"/>
    <w:rsid w:val="006F378E"/>
    <w:rsid w:val="007075F4"/>
    <w:rsid w:val="0073475B"/>
    <w:rsid w:val="00787AC3"/>
    <w:rsid w:val="007D66FF"/>
    <w:rsid w:val="007F7B87"/>
    <w:rsid w:val="00825A64"/>
    <w:rsid w:val="00833A31"/>
    <w:rsid w:val="00851203"/>
    <w:rsid w:val="00864FEC"/>
    <w:rsid w:val="0086583F"/>
    <w:rsid w:val="008A6C8B"/>
    <w:rsid w:val="008C0A08"/>
    <w:rsid w:val="008E222E"/>
    <w:rsid w:val="008F61A3"/>
    <w:rsid w:val="00902462"/>
    <w:rsid w:val="00931DD6"/>
    <w:rsid w:val="009416F6"/>
    <w:rsid w:val="00947591"/>
    <w:rsid w:val="009548F0"/>
    <w:rsid w:val="00972744"/>
    <w:rsid w:val="009862FC"/>
    <w:rsid w:val="009930B9"/>
    <w:rsid w:val="009D6947"/>
    <w:rsid w:val="009F35F9"/>
    <w:rsid w:val="00A21EF2"/>
    <w:rsid w:val="00A22821"/>
    <w:rsid w:val="00A51ED3"/>
    <w:rsid w:val="00A64B42"/>
    <w:rsid w:val="00A94E67"/>
    <w:rsid w:val="00AB4BBB"/>
    <w:rsid w:val="00AC75CB"/>
    <w:rsid w:val="00AE1E7D"/>
    <w:rsid w:val="00B010EA"/>
    <w:rsid w:val="00B01767"/>
    <w:rsid w:val="00B4005D"/>
    <w:rsid w:val="00B46347"/>
    <w:rsid w:val="00B672A1"/>
    <w:rsid w:val="00B923E5"/>
    <w:rsid w:val="00B94F45"/>
    <w:rsid w:val="00BB3DC5"/>
    <w:rsid w:val="00BC66D9"/>
    <w:rsid w:val="00C13615"/>
    <w:rsid w:val="00C30212"/>
    <w:rsid w:val="00C468D7"/>
    <w:rsid w:val="00C66D91"/>
    <w:rsid w:val="00C72272"/>
    <w:rsid w:val="00CC6130"/>
    <w:rsid w:val="00D20943"/>
    <w:rsid w:val="00D82472"/>
    <w:rsid w:val="00D96635"/>
    <w:rsid w:val="00DD70BD"/>
    <w:rsid w:val="00DE1A7B"/>
    <w:rsid w:val="00E227BD"/>
    <w:rsid w:val="00E55EAD"/>
    <w:rsid w:val="00E64789"/>
    <w:rsid w:val="00E74BDC"/>
    <w:rsid w:val="00E90289"/>
    <w:rsid w:val="00E933AF"/>
    <w:rsid w:val="00EC52BD"/>
    <w:rsid w:val="00EE3128"/>
    <w:rsid w:val="00EE6A7A"/>
    <w:rsid w:val="00EF19DC"/>
    <w:rsid w:val="00F039CA"/>
    <w:rsid w:val="00F16285"/>
    <w:rsid w:val="00F27971"/>
    <w:rsid w:val="00FA185D"/>
    <w:rsid w:val="00FC0FF3"/>
    <w:rsid w:val="00FC2178"/>
    <w:rsid w:val="00FF051D"/>
    <w:rsid w:val="00FF1A86"/>
    <w:rsid w:val="08685237"/>
    <w:rsid w:val="0DA8485A"/>
    <w:rsid w:val="0ED65CAC"/>
    <w:rsid w:val="11707909"/>
    <w:rsid w:val="136D6535"/>
    <w:rsid w:val="13EC1BC1"/>
    <w:rsid w:val="142874B7"/>
    <w:rsid w:val="14FB2910"/>
    <w:rsid w:val="18527134"/>
    <w:rsid w:val="18921583"/>
    <w:rsid w:val="1A8E4A9F"/>
    <w:rsid w:val="1AA526E7"/>
    <w:rsid w:val="1C8F6836"/>
    <w:rsid w:val="1E8E65A3"/>
    <w:rsid w:val="20390790"/>
    <w:rsid w:val="208A0FEC"/>
    <w:rsid w:val="20B0179F"/>
    <w:rsid w:val="2403647D"/>
    <w:rsid w:val="27846795"/>
    <w:rsid w:val="29641AA1"/>
    <w:rsid w:val="2F0E0738"/>
    <w:rsid w:val="311E380C"/>
    <w:rsid w:val="327D6B7A"/>
    <w:rsid w:val="33544D3A"/>
    <w:rsid w:val="363E5114"/>
    <w:rsid w:val="37D44BCF"/>
    <w:rsid w:val="3BBB52CC"/>
    <w:rsid w:val="3E535C46"/>
    <w:rsid w:val="416D5C31"/>
    <w:rsid w:val="430E60EC"/>
    <w:rsid w:val="44532AC7"/>
    <w:rsid w:val="44CC7550"/>
    <w:rsid w:val="45B47DEE"/>
    <w:rsid w:val="473A53F3"/>
    <w:rsid w:val="49BC55E8"/>
    <w:rsid w:val="52635075"/>
    <w:rsid w:val="53393224"/>
    <w:rsid w:val="536709FA"/>
    <w:rsid w:val="59D76506"/>
    <w:rsid w:val="5B123195"/>
    <w:rsid w:val="5D431D2B"/>
    <w:rsid w:val="5D622CA1"/>
    <w:rsid w:val="5F0A3E4D"/>
    <w:rsid w:val="5FC367C7"/>
    <w:rsid w:val="61DE0274"/>
    <w:rsid w:val="633A6B35"/>
    <w:rsid w:val="63BA16F8"/>
    <w:rsid w:val="63BA7F10"/>
    <w:rsid w:val="644B1C21"/>
    <w:rsid w:val="65960E66"/>
    <w:rsid w:val="689F50D9"/>
    <w:rsid w:val="6E343B41"/>
    <w:rsid w:val="76B04BB9"/>
    <w:rsid w:val="76B6724A"/>
    <w:rsid w:val="78443938"/>
    <w:rsid w:val="784E629A"/>
    <w:rsid w:val="79CD62DA"/>
    <w:rsid w:val="7A007BAE"/>
    <w:rsid w:val="7BEB5610"/>
    <w:rsid w:val="7CBC6DDD"/>
    <w:rsid w:val="7F002FE5"/>
    <w:rsid w:val="7F541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spacing w:line="600" w:lineRule="exact"/>
      <w:ind w:firstLine="640" w:firstLineChars="200"/>
      <w:outlineLvl w:val="2"/>
    </w:pPr>
    <w:rPr>
      <w:rFonts w:ascii="黑体" w:hAnsi="黑体" w:eastAsia="黑体"/>
      <w:color w:val="000000"/>
      <w:szCs w:val="32"/>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8"/>
    <w:qFormat/>
    <w:uiPriority w:val="0"/>
    <w:pPr>
      <w:jc w:val="left"/>
    </w:pPr>
  </w:style>
  <w:style w:type="paragraph" w:styleId="4">
    <w:name w:val="Balloon Text"/>
    <w:basedOn w:val="1"/>
    <w:semiHidden/>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3"/>
    <w:next w:val="3"/>
    <w:link w:val="19"/>
    <w:qFormat/>
    <w:uiPriority w:val="0"/>
    <w:rPr>
      <w:b/>
      <w:bCs/>
    </w:rPr>
  </w:style>
  <w:style w:type="character" w:styleId="11">
    <w:name w:val="Strong"/>
    <w:qFormat/>
    <w:uiPriority w:val="22"/>
    <w:rPr>
      <w:b/>
      <w:bCs/>
    </w:rPr>
  </w:style>
  <w:style w:type="character" w:styleId="12">
    <w:name w:val="Hyperlink"/>
    <w:unhideWhenUsed/>
    <w:qFormat/>
    <w:uiPriority w:val="99"/>
    <w:rPr>
      <w:color w:val="0000FF"/>
      <w:u w:val="single"/>
    </w:rPr>
  </w:style>
  <w:style w:type="character" w:styleId="13">
    <w:name w:val="annotation reference"/>
    <w:basedOn w:val="10"/>
    <w:qFormat/>
    <w:uiPriority w:val="0"/>
    <w:rPr>
      <w:sz w:val="21"/>
      <w:szCs w:val="21"/>
    </w:rPr>
  </w:style>
  <w:style w:type="character" w:customStyle="1" w:styleId="14">
    <w:name w:val="页脚 字符"/>
    <w:link w:val="5"/>
    <w:qFormat/>
    <w:uiPriority w:val="99"/>
    <w:rPr>
      <w:kern w:val="2"/>
      <w:sz w:val="18"/>
      <w:szCs w:val="18"/>
    </w:rPr>
  </w:style>
  <w:style w:type="character" w:customStyle="1" w:styleId="15">
    <w:name w:val="页眉 字符"/>
    <w:link w:val="6"/>
    <w:qFormat/>
    <w:uiPriority w:val="0"/>
    <w:rPr>
      <w:kern w:val="2"/>
      <w:sz w:val="18"/>
      <w:szCs w:val="18"/>
    </w:rPr>
  </w:style>
  <w:style w:type="paragraph" w:customStyle="1" w:styleId="16">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7">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18">
    <w:name w:val="批注文字 字符"/>
    <w:basedOn w:val="10"/>
    <w:link w:val="3"/>
    <w:qFormat/>
    <w:uiPriority w:val="0"/>
    <w:rPr>
      <w:kern w:val="2"/>
      <w:sz w:val="21"/>
      <w:szCs w:val="24"/>
    </w:rPr>
  </w:style>
  <w:style w:type="character" w:customStyle="1" w:styleId="19">
    <w:name w:val="批注主题 字符"/>
    <w:basedOn w:val="18"/>
    <w:link w:val="8"/>
    <w:qFormat/>
    <w:uiPriority w:val="0"/>
    <w:rPr>
      <w:b/>
      <w:bCs/>
      <w:kern w:val="2"/>
      <w:sz w:val="21"/>
      <w:szCs w:val="24"/>
    </w:rPr>
  </w:style>
  <w:style w:type="paragraph" w:customStyle="1" w:styleId="20">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36897-3386-48A4-9973-0A1717EBC401}">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6</Pages>
  <Words>3446</Words>
  <Characters>3602</Characters>
  <Lines>30</Lines>
  <Paragraphs>8</Paragraphs>
  <TotalTime>24</TotalTime>
  <ScaleCrop>false</ScaleCrop>
  <LinksUpToDate>false</LinksUpToDate>
  <CharactersWithSpaces>4092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2025-06-03T19:31:00Z</dcterms:created>
  <dc:creator>Lenovo User</dc:creator>
  <cp:lastModifiedBy>Administrator</cp:lastModifiedBy>
  <cp:lastPrinted>2016-05-17T06:30:00Z</cp:lastPrinted>
  <dcterms:modified xsi:type="dcterms:W3CDTF">2025-09-28T08:42:39Z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1672CCC02D924E3F984EA35B229F2A4F_13</vt:lpwstr>
  </property>
  <property fmtid="{D5CDD505-2E9C-101B-9397-08002B2CF9AE}" pid="4" name="KSOTemplateDocerSaveRecord">
    <vt:lpwstr>eyJoZGlkIjoiM2ZhYjBiZDI0Yjc3M2YyNWUwNTc4OTY0NGZmNWU1M2IiLCJ1c2VySWQiOiI3MjcyMjgxMDQifQ==</vt:lpwstr>
  </property>
</Properties>
</file>