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057D8">
      <w:pPr>
        <w:adjustRightInd w:val="0"/>
        <w:snapToGrid w:val="0"/>
        <w:jc w:val="center"/>
        <w:rPr>
          <w:rFonts w:hint="eastAsia" w:ascii="黑体" w:hAnsi="黑体" w:eastAsia="黑体" w:cs="黑体"/>
          <w:b/>
          <w:sz w:val="36"/>
          <w:szCs w:val="36"/>
        </w:rPr>
      </w:pPr>
      <w:r>
        <w:rPr>
          <w:rFonts w:hint="eastAsia" w:ascii="黑体" w:hAnsi="黑体" w:eastAsia="黑体" w:cs="黑体"/>
          <w:b/>
          <w:color w:val="000000"/>
          <w:sz w:val="36"/>
          <w:szCs w:val="36"/>
        </w:rPr>
        <w:t xml:space="preserve">数字经济学专业目录 </w:t>
      </w:r>
      <w:r>
        <w:rPr>
          <w:rFonts w:hint="eastAsia" w:ascii="黑体" w:hAnsi="黑体" w:eastAsia="黑体" w:cs="黑体"/>
          <w:b/>
          <w:sz w:val="36"/>
          <w:szCs w:val="36"/>
        </w:rPr>
        <w:t>0202Z2</w:t>
      </w:r>
    </w:p>
    <w:p w14:paraId="3F13C650">
      <w:pPr>
        <w:adjustRightInd w:val="0"/>
        <w:snapToGrid w:val="0"/>
        <w:jc w:val="center"/>
        <w:rPr>
          <w:rFonts w:hint="eastAsia" w:ascii="黑体" w:hAnsi="黑体" w:eastAsia="黑体" w:cs="黑体"/>
          <w:sz w:val="36"/>
          <w:szCs w:val="36"/>
        </w:rPr>
      </w:pPr>
    </w:p>
    <w:p w14:paraId="20738CFE">
      <w:pPr>
        <w:adjustRightInd w:val="0"/>
        <w:snapToGrid w:val="0"/>
        <w:rPr>
          <w:rFonts w:hint="eastAsia" w:ascii="宋体" w:hAnsi="宋体" w:cs="宋体"/>
          <w:sz w:val="24"/>
        </w:rPr>
      </w:pPr>
      <w:r>
        <w:rPr>
          <w:rFonts w:hint="eastAsia" w:ascii="宋体" w:hAnsi="宋体" w:cs="宋体"/>
          <w:b/>
          <w:bCs/>
          <w:sz w:val="24"/>
        </w:rPr>
        <w:t>学科点简介：</w:t>
      </w:r>
      <w:r>
        <w:rPr>
          <w:rFonts w:hint="eastAsia" w:ascii="宋体" w:hAnsi="宋体" w:cs="宋体"/>
          <w:sz w:val="24"/>
        </w:rPr>
        <w:t>数字经济学硕士点隶属于广东财经大学经济学院，数字经济学科为广东省“冲补强”重点建设学科，依托广东省哲学社会科学重点实验室（</w:t>
      </w:r>
      <w:r>
        <w:rPr>
          <w:rFonts w:ascii="宋体" w:hAnsi="宋体" w:cs="宋体"/>
          <w:color w:val="auto"/>
          <w:sz w:val="24"/>
          <w:szCs w:val="24"/>
          <w:shd w:val="clear" w:color="auto" w:fill="auto"/>
        </w:rPr>
        <w:t>数字经济协同创新重点实验室</w:t>
      </w:r>
      <w:r>
        <w:rPr>
          <w:rFonts w:hint="eastAsia" w:ascii="宋体" w:hAnsi="宋体" w:cs="宋体"/>
          <w:sz w:val="24"/>
        </w:rPr>
        <w:t>）、广东财经大学广东数字经济研究院等多平台支撑发展。近年已承担国家社会科学基金、教育部人文社会科学规划基金、广东省社会科学基金和广东省自然科学基金等省部级及以上项目十多项。目前，数字经济学硕士点已和广东智信信息科技股份有限公司、南海农商行、智慧零售、企研大数据、云润大数据等十多家企业签订了人才联合培养协议，并设立研究生专业实践基地，聘任了二十多位校外行业创新导师，为数字经济学研究生联合培养和创新实践提供了良好的条件支持。</w:t>
      </w:r>
    </w:p>
    <w:p w14:paraId="4FBA4BCA">
      <w:pPr>
        <w:adjustRightInd w:val="0"/>
        <w:snapToGrid w:val="0"/>
        <w:rPr>
          <w:rFonts w:hint="eastAsia" w:ascii="宋体" w:hAnsi="宋体" w:cs="宋体"/>
          <w:sz w:val="24"/>
        </w:rPr>
      </w:pPr>
    </w:p>
    <w:p w14:paraId="7768ABD4">
      <w:pPr>
        <w:pStyle w:val="4"/>
        <w:keepNext w:val="0"/>
        <w:keepLines w:val="0"/>
        <w:widowControl/>
        <w:suppressLineNumbers w:val="0"/>
        <w:spacing w:before="0" w:beforeAutospacing="0" w:after="0" w:afterAutospacing="0"/>
        <w:ind w:left="0" w:right="0"/>
        <w:rPr>
          <w:rFonts w:hint="eastAsia" w:ascii="宋体" w:hAnsi="宋体"/>
          <w:sz w:val="24"/>
          <w:lang w:eastAsia="zh-CN"/>
        </w:rPr>
      </w:pPr>
      <w:r>
        <w:rPr>
          <w:rFonts w:hint="eastAsia" w:ascii="宋体" w:hAnsi="宋体" w:cs="宋体"/>
          <w:b/>
          <w:bCs/>
          <w:sz w:val="24"/>
        </w:rPr>
        <w:t>培养目标：</w:t>
      </w:r>
      <w:r>
        <w:rPr>
          <w:rFonts w:hint="eastAsia" w:ascii="宋体" w:hAnsi="宋体"/>
          <w:sz w:val="24"/>
        </w:rPr>
        <w:t>面向数字中国发展战略需求，立足数字广东建设，服务数字湾区行动计划，培养</w:t>
      </w:r>
      <w:r>
        <w:rPr>
          <w:rFonts w:hint="eastAsia" w:ascii="宋体" w:hAnsi="宋体"/>
          <w:sz w:val="24"/>
          <w:lang w:val="en-US" w:eastAsia="zh-CN"/>
        </w:rPr>
        <w:t>具备扎实</w:t>
      </w:r>
      <w:r>
        <w:rPr>
          <w:rFonts w:hint="eastAsia" w:ascii="宋体" w:hAnsi="宋体"/>
          <w:sz w:val="24"/>
        </w:rPr>
        <w:t>经济学理论基础和数字技术应用能力，理解数据要素、平台经济、人工智能等新范式，具有数字经济背景下管理运营分析与决策能力，产业数字化规划与建设能力，对经济理论问题和现实</w:t>
      </w:r>
      <w:r>
        <w:rPr>
          <w:rFonts w:hint="eastAsia" w:ascii="宋体" w:hAnsi="宋体"/>
          <w:sz w:val="24"/>
          <w:lang w:val="en-US" w:eastAsia="zh-CN"/>
        </w:rPr>
        <w:t>数字</w:t>
      </w:r>
      <w:r>
        <w:rPr>
          <w:rFonts w:hint="eastAsia" w:ascii="宋体" w:hAnsi="宋体"/>
          <w:sz w:val="24"/>
        </w:rPr>
        <w:t>经济问题具有敏锐的观察能力和深入的分析、研究能力，具有国际化视野和较强的国际交流能力，适应全球数字经济发展趋势</w:t>
      </w:r>
      <w:r>
        <w:rPr>
          <w:rFonts w:hint="eastAsia" w:ascii="宋体" w:hAnsi="宋体"/>
          <w:sz w:val="24"/>
          <w:lang w:eastAsia="zh-CN"/>
        </w:rPr>
        <w:t>，</w:t>
      </w:r>
      <w:r>
        <w:rPr>
          <w:rFonts w:hint="eastAsia" w:ascii="宋体" w:hAnsi="宋体"/>
          <w:sz w:val="24"/>
          <w:lang w:val="en-US" w:eastAsia="zh-CN"/>
        </w:rPr>
        <w:t>具</w:t>
      </w:r>
      <w:r>
        <w:rPr>
          <w:rFonts w:hint="eastAsia" w:ascii="宋体" w:hAnsi="宋体"/>
          <w:sz w:val="24"/>
          <w:lang w:eastAsia="zh-CN"/>
        </w:rPr>
        <w:t>有创新精神的</w:t>
      </w:r>
      <w:r>
        <w:rPr>
          <w:rFonts w:hint="eastAsia" w:ascii="宋体" w:hAnsi="宋体"/>
          <w:sz w:val="24"/>
          <w:lang w:val="en-US" w:eastAsia="zh-CN"/>
        </w:rPr>
        <w:t>高素质</w:t>
      </w:r>
      <w:r>
        <w:rPr>
          <w:rFonts w:hint="eastAsia" w:ascii="宋体" w:hAnsi="宋体"/>
          <w:sz w:val="24"/>
          <w:lang w:eastAsia="zh-CN"/>
        </w:rPr>
        <w:t>复合型</w:t>
      </w:r>
      <w:r>
        <w:rPr>
          <w:rFonts w:hint="eastAsia" w:ascii="宋体" w:hAnsi="宋体"/>
          <w:sz w:val="24"/>
          <w:lang w:val="en-US" w:eastAsia="zh-CN"/>
        </w:rPr>
        <w:t>专业</w:t>
      </w:r>
      <w:r>
        <w:rPr>
          <w:rFonts w:hint="eastAsia" w:ascii="宋体" w:hAnsi="宋体"/>
          <w:sz w:val="24"/>
          <w:lang w:eastAsia="zh-CN"/>
        </w:rPr>
        <w:t>人才。</w:t>
      </w:r>
    </w:p>
    <w:p w14:paraId="6C408FCB">
      <w:pPr>
        <w:adjustRightInd w:val="0"/>
        <w:snapToGrid w:val="0"/>
        <w:rPr>
          <w:rFonts w:hint="eastAsia" w:ascii="宋体" w:hAnsi="宋体" w:cs="宋体"/>
          <w:b/>
          <w:bCs/>
          <w:sz w:val="24"/>
        </w:rPr>
      </w:pPr>
    </w:p>
    <w:p w14:paraId="488091DB">
      <w:pPr>
        <w:adjustRightInd w:val="0"/>
        <w:snapToGrid w:val="0"/>
        <w:rPr>
          <w:rFonts w:hint="eastAsia" w:ascii="宋体" w:hAnsi="宋体" w:cs="宋体"/>
          <w:sz w:val="24"/>
        </w:rPr>
      </w:pPr>
      <w:r>
        <w:rPr>
          <w:rFonts w:hint="eastAsia" w:ascii="宋体" w:hAnsi="宋体" w:cs="宋体"/>
          <w:b/>
          <w:bCs/>
          <w:sz w:val="24"/>
        </w:rPr>
        <w:t>主要课程：</w:t>
      </w:r>
      <w:r>
        <w:rPr>
          <w:rFonts w:hint="eastAsia" w:ascii="宋体" w:hAnsi="宋体" w:cs="宋体"/>
          <w:sz w:val="24"/>
        </w:rPr>
        <w:t xml:space="preserve">《数字经济学》《中级微观经济学》《中级计量经济学》《数字经济统计》《大数据技术与应用》《平台经济学》《数字经济治理》等。 </w:t>
      </w:r>
    </w:p>
    <w:p w14:paraId="1FAC75D5">
      <w:pPr>
        <w:adjustRightInd w:val="0"/>
        <w:snapToGrid w:val="0"/>
        <w:rPr>
          <w:rFonts w:hint="eastAsia" w:ascii="宋体" w:hAnsi="宋体" w:cs="宋体"/>
          <w:sz w:val="24"/>
        </w:rPr>
      </w:pPr>
    </w:p>
    <w:p w14:paraId="254B84EB">
      <w:pPr>
        <w:adjustRightInd w:val="0"/>
        <w:snapToGrid w:val="0"/>
        <w:rPr>
          <w:rFonts w:hint="eastAsia" w:ascii="宋体" w:hAnsi="宋体" w:cs="宋体"/>
          <w:sz w:val="24"/>
        </w:rPr>
      </w:pPr>
      <w:r>
        <w:rPr>
          <w:rFonts w:hint="eastAsia" w:ascii="宋体" w:hAnsi="宋体" w:cs="宋体"/>
          <w:b/>
          <w:bCs/>
          <w:sz w:val="24"/>
        </w:rPr>
        <w:t>就业方向：</w:t>
      </w:r>
      <w:r>
        <w:rPr>
          <w:rFonts w:hint="eastAsia" w:ascii="宋体" w:hAnsi="宋体" w:cs="宋体"/>
          <w:sz w:val="24"/>
        </w:rPr>
        <w:t>本方向毕业生的就业前景广阔，主要面向</w:t>
      </w:r>
      <w:r>
        <w:rPr>
          <w:rFonts w:hint="eastAsia" w:ascii="宋体" w:hAnsi="宋体" w:cs="宋体"/>
          <w:sz w:val="24"/>
          <w:lang w:val="en-US" w:eastAsia="zh-CN"/>
        </w:rPr>
        <w:t>三</w:t>
      </w:r>
      <w:r>
        <w:rPr>
          <w:rFonts w:hint="eastAsia" w:ascii="宋体" w:hAnsi="宋体" w:cs="宋体"/>
          <w:sz w:val="24"/>
        </w:rPr>
        <w:t>大领域</w:t>
      </w:r>
      <w:r>
        <w:rPr>
          <w:rFonts w:hint="eastAsia" w:ascii="宋体" w:hAnsi="宋体" w:cs="宋体"/>
          <w:sz w:val="24"/>
          <w:lang w:eastAsia="zh-CN"/>
        </w:rPr>
        <w:t>。</w:t>
      </w:r>
      <w:r>
        <w:rPr>
          <w:rFonts w:hint="eastAsia" w:ascii="宋体" w:hAnsi="宋体" w:cs="宋体"/>
          <w:sz w:val="24"/>
        </w:rPr>
        <w:t>一</w:t>
      </w:r>
      <w:r>
        <w:rPr>
          <w:rFonts w:hint="eastAsia" w:ascii="宋体" w:hAnsi="宋体" w:cs="宋体"/>
          <w:sz w:val="24"/>
          <w:lang w:val="en-US" w:eastAsia="zh-CN"/>
        </w:rPr>
        <w:t>是</w:t>
      </w:r>
      <w:r>
        <w:rPr>
          <w:rFonts w:hint="eastAsia" w:ascii="宋体" w:hAnsi="宋体" w:cs="宋体"/>
          <w:sz w:val="24"/>
        </w:rPr>
        <w:t>各级政府部门及事业单位，从事与发展改革、数据治理、市场监管、财政税务、城市规划、商务贸易及统计分析相关的政策研究与制定工作；二</w:t>
      </w:r>
      <w:r>
        <w:rPr>
          <w:rFonts w:hint="eastAsia" w:ascii="宋体" w:hAnsi="宋体" w:cs="宋体"/>
          <w:sz w:val="24"/>
          <w:lang w:val="en-US" w:eastAsia="zh-CN"/>
        </w:rPr>
        <w:t>是</w:t>
      </w:r>
      <w:r>
        <w:rPr>
          <w:rFonts w:hint="eastAsia" w:ascii="宋体" w:hAnsi="宋体" w:cs="宋体"/>
          <w:sz w:val="24"/>
        </w:rPr>
        <w:t>金融、能源、交通、高新科技、环保等重点行业的领军国有企业与科研机构，承担规划、运营管理及数据分析等核心职能；三</w:t>
      </w:r>
      <w:r>
        <w:rPr>
          <w:rFonts w:hint="eastAsia" w:ascii="宋体" w:hAnsi="宋体" w:cs="宋体"/>
          <w:sz w:val="24"/>
          <w:lang w:val="en-US" w:eastAsia="zh-CN"/>
        </w:rPr>
        <w:t>是</w:t>
      </w:r>
      <w:r>
        <w:rPr>
          <w:rFonts w:hint="eastAsia" w:ascii="宋体" w:hAnsi="宋体" w:cs="宋体"/>
          <w:sz w:val="24"/>
        </w:rPr>
        <w:t>继续在国内或境外知名高校的相关学科领域深造，报考博士研究生，成长为高层次研究型人才。</w:t>
      </w:r>
    </w:p>
    <w:p w14:paraId="2468729C">
      <w:pPr>
        <w:adjustRightInd w:val="0"/>
        <w:snapToGrid w:val="0"/>
        <w:rPr>
          <w:rFonts w:hint="eastAsia" w:ascii="宋体" w:hAnsi="宋体" w:cs="宋体"/>
          <w:sz w:val="24"/>
        </w:rPr>
      </w:pPr>
    </w:p>
    <w:p w14:paraId="7C4663A7">
      <w:pPr>
        <w:adjustRightInd w:val="0"/>
        <w:snapToGrid w:val="0"/>
        <w:rPr>
          <w:rFonts w:hint="eastAsia" w:ascii="宋体" w:hAnsi="宋体" w:cs="宋体"/>
          <w:b/>
          <w:color w:val="FF0000"/>
          <w:sz w:val="24"/>
        </w:rPr>
      </w:pPr>
      <w:r>
        <w:rPr>
          <w:rFonts w:hint="eastAsia" w:ascii="宋体" w:hAnsi="宋体" w:cs="宋体"/>
          <w:b/>
          <w:sz w:val="24"/>
        </w:rPr>
        <w:t xml:space="preserve">专业代码：0202Z2 </w:t>
      </w:r>
      <w:r>
        <w:rPr>
          <w:rFonts w:hint="eastAsia" w:ascii="宋体" w:hAnsi="宋体" w:cs="宋体"/>
          <w:b/>
          <w:color w:val="0000FF"/>
          <w:sz w:val="24"/>
        </w:rPr>
        <w:t xml:space="preserve"> </w:t>
      </w:r>
      <w:r>
        <w:rPr>
          <w:rFonts w:hint="eastAsia" w:ascii="宋体" w:hAnsi="宋体" w:cs="宋体"/>
          <w:b/>
          <w:sz w:val="24"/>
        </w:rPr>
        <w:t xml:space="preserve">                          咨询电话：020-84261737</w:t>
      </w:r>
    </w:p>
    <w:tbl>
      <w:tblPr>
        <w:tblStyle w:val="5"/>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410"/>
        <w:gridCol w:w="3339"/>
        <w:gridCol w:w="1602"/>
      </w:tblGrid>
      <w:tr w14:paraId="5987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14:paraId="4A888723">
            <w:pPr>
              <w:adjustRightInd w:val="0"/>
              <w:snapToGrid w:val="0"/>
              <w:jc w:val="center"/>
              <w:rPr>
                <w:rFonts w:hint="eastAsia" w:ascii="宋体" w:hAnsi="宋体" w:cs="宋体"/>
                <w:b/>
                <w:sz w:val="24"/>
              </w:rPr>
            </w:pPr>
            <w:r>
              <w:rPr>
                <w:rFonts w:hint="eastAsia" w:ascii="宋体" w:hAnsi="宋体" w:cs="宋体"/>
                <w:b/>
                <w:sz w:val="24"/>
              </w:rPr>
              <w:t>序号</w:t>
            </w:r>
          </w:p>
        </w:tc>
        <w:tc>
          <w:tcPr>
            <w:tcW w:w="1471" w:type="pct"/>
            <w:vAlign w:val="center"/>
          </w:tcPr>
          <w:p w14:paraId="075A1871">
            <w:pPr>
              <w:adjustRightInd w:val="0"/>
              <w:snapToGrid w:val="0"/>
              <w:jc w:val="center"/>
              <w:rPr>
                <w:rFonts w:hint="eastAsia" w:ascii="宋体" w:hAnsi="宋体" w:cs="宋体"/>
                <w:b/>
                <w:sz w:val="24"/>
              </w:rPr>
            </w:pPr>
            <w:r>
              <w:rPr>
                <w:rFonts w:hint="eastAsia" w:ascii="宋体" w:hAnsi="宋体" w:cs="宋体"/>
                <w:b/>
                <w:sz w:val="24"/>
              </w:rPr>
              <w:t>研究方向</w:t>
            </w:r>
          </w:p>
        </w:tc>
        <w:tc>
          <w:tcPr>
            <w:tcW w:w="2038" w:type="pct"/>
            <w:vAlign w:val="center"/>
          </w:tcPr>
          <w:p w14:paraId="43434695">
            <w:pPr>
              <w:adjustRightInd w:val="0"/>
              <w:snapToGrid w:val="0"/>
              <w:jc w:val="center"/>
              <w:rPr>
                <w:rFonts w:hint="eastAsia" w:ascii="宋体" w:hAnsi="宋体" w:cs="宋体"/>
                <w:b/>
                <w:sz w:val="24"/>
              </w:rPr>
            </w:pPr>
            <w:r>
              <w:rPr>
                <w:rFonts w:hint="eastAsia" w:ascii="宋体" w:hAnsi="宋体" w:cs="宋体"/>
                <w:b/>
                <w:sz w:val="24"/>
              </w:rPr>
              <w:t>考试科目</w:t>
            </w:r>
          </w:p>
        </w:tc>
        <w:tc>
          <w:tcPr>
            <w:tcW w:w="978" w:type="pct"/>
            <w:vAlign w:val="center"/>
          </w:tcPr>
          <w:p w14:paraId="620DBF9F">
            <w:pPr>
              <w:adjustRightInd w:val="0"/>
              <w:snapToGrid w:val="0"/>
              <w:jc w:val="center"/>
              <w:rPr>
                <w:rFonts w:hint="eastAsia" w:ascii="宋体" w:hAnsi="宋体" w:cs="宋体"/>
                <w:b/>
                <w:sz w:val="24"/>
              </w:rPr>
            </w:pPr>
            <w:r>
              <w:rPr>
                <w:rFonts w:hint="eastAsia" w:ascii="宋体" w:hAnsi="宋体" w:cs="宋体"/>
                <w:b/>
                <w:sz w:val="24"/>
              </w:rPr>
              <w:t>复试科目</w:t>
            </w:r>
          </w:p>
        </w:tc>
      </w:tr>
      <w:tr w14:paraId="3ED2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14:paraId="24C39627">
            <w:pPr>
              <w:adjustRightInd w:val="0"/>
              <w:snapToGrid w:val="0"/>
              <w:jc w:val="center"/>
              <w:rPr>
                <w:rFonts w:hint="eastAsia" w:ascii="宋体" w:hAnsi="宋体" w:cs="宋体"/>
                <w:sz w:val="24"/>
              </w:rPr>
            </w:pPr>
            <w:r>
              <w:rPr>
                <w:rFonts w:hint="eastAsia" w:ascii="宋体" w:hAnsi="宋体" w:cs="宋体"/>
                <w:sz w:val="24"/>
              </w:rPr>
              <w:t>1</w:t>
            </w:r>
          </w:p>
        </w:tc>
        <w:tc>
          <w:tcPr>
            <w:tcW w:w="1471" w:type="pct"/>
            <w:vAlign w:val="center"/>
          </w:tcPr>
          <w:p w14:paraId="2C1CA780">
            <w:pPr>
              <w:adjustRightInd w:val="0"/>
              <w:snapToGrid w:val="0"/>
              <w:rPr>
                <w:rFonts w:hint="eastAsia" w:ascii="宋体" w:hAnsi="宋体" w:cs="宋体"/>
                <w:sz w:val="24"/>
              </w:rPr>
            </w:pPr>
            <w:r>
              <w:rPr>
                <w:rFonts w:hint="eastAsia" w:ascii="宋体" w:hAnsi="宋体" w:cs="宋体"/>
                <w:sz w:val="24"/>
              </w:rPr>
              <w:t>平台经济理论与政策</w:t>
            </w:r>
          </w:p>
        </w:tc>
        <w:tc>
          <w:tcPr>
            <w:tcW w:w="2038" w:type="pct"/>
            <w:vMerge w:val="restart"/>
            <w:vAlign w:val="center"/>
          </w:tcPr>
          <w:p w14:paraId="3690B6D5">
            <w:pPr>
              <w:adjustRightInd w:val="0"/>
              <w:snapToGrid w:val="0"/>
              <w:rPr>
                <w:rFonts w:hint="eastAsia" w:ascii="宋体" w:hAnsi="宋体" w:cs="宋体"/>
                <w:sz w:val="24"/>
              </w:rPr>
            </w:pPr>
            <w:r>
              <w:rPr>
                <w:rFonts w:hint="eastAsia" w:ascii="宋体" w:hAnsi="宋体" w:cs="宋体"/>
                <w:sz w:val="24"/>
              </w:rPr>
              <w:t>（1）▲思想政治理论（100分）</w:t>
            </w:r>
          </w:p>
          <w:p w14:paraId="786C2839">
            <w:pPr>
              <w:adjustRightInd w:val="0"/>
              <w:snapToGrid w:val="0"/>
              <w:rPr>
                <w:rFonts w:hint="eastAsia" w:ascii="宋体" w:hAnsi="宋体" w:cs="宋体"/>
                <w:sz w:val="24"/>
              </w:rPr>
            </w:pPr>
            <w:r>
              <w:rPr>
                <w:rFonts w:hint="eastAsia" w:ascii="宋体" w:hAnsi="宋体" w:cs="宋体"/>
                <w:sz w:val="24"/>
              </w:rPr>
              <w:t>（2）▲英语一（100分）</w:t>
            </w:r>
          </w:p>
          <w:p w14:paraId="6284AE9A">
            <w:pPr>
              <w:adjustRightInd w:val="0"/>
              <w:snapToGrid w:val="0"/>
              <w:rPr>
                <w:rFonts w:hint="eastAsia" w:ascii="宋体" w:hAnsi="宋体" w:cs="宋体"/>
                <w:sz w:val="24"/>
              </w:rPr>
            </w:pPr>
            <w:r>
              <w:rPr>
                <w:rFonts w:hint="eastAsia" w:ascii="宋体" w:hAnsi="宋体" w:cs="宋体"/>
                <w:sz w:val="24"/>
              </w:rPr>
              <w:t>（3）▲数学三（150分）</w:t>
            </w:r>
          </w:p>
          <w:p w14:paraId="63083379">
            <w:pPr>
              <w:adjustRightInd w:val="0"/>
              <w:snapToGrid w:val="0"/>
              <w:rPr>
                <w:rFonts w:hint="eastAsia" w:ascii="宋体" w:hAnsi="宋体" w:cs="宋体"/>
                <w:sz w:val="24"/>
              </w:rPr>
            </w:pPr>
            <w:r>
              <w:rPr>
                <w:rFonts w:hint="eastAsia" w:ascii="宋体" w:hAnsi="宋体" w:cs="宋体"/>
                <w:sz w:val="24"/>
              </w:rPr>
              <w:t>（4）经济学基础（150分）</w:t>
            </w:r>
          </w:p>
        </w:tc>
        <w:tc>
          <w:tcPr>
            <w:tcW w:w="978" w:type="pct"/>
            <w:vMerge w:val="restart"/>
            <w:vAlign w:val="center"/>
          </w:tcPr>
          <w:p w14:paraId="3CBB7F2E">
            <w:pPr>
              <w:adjustRightInd w:val="0"/>
              <w:snapToGrid w:val="0"/>
              <w:jc w:val="center"/>
              <w:rPr>
                <w:rFonts w:hint="eastAsia" w:ascii="宋体" w:hAnsi="宋体" w:cs="宋体"/>
                <w:sz w:val="24"/>
              </w:rPr>
            </w:pPr>
            <w:r>
              <w:rPr>
                <w:rFonts w:hint="eastAsia" w:ascii="宋体" w:hAnsi="宋体" w:cs="宋体"/>
                <w:sz w:val="24"/>
              </w:rPr>
              <w:t>F554-数字</w:t>
            </w:r>
          </w:p>
          <w:p w14:paraId="318383A4">
            <w:pPr>
              <w:adjustRightInd w:val="0"/>
              <w:snapToGrid w:val="0"/>
              <w:jc w:val="center"/>
              <w:rPr>
                <w:rFonts w:hint="eastAsia" w:ascii="宋体" w:hAnsi="宋体" w:cs="宋体"/>
                <w:sz w:val="24"/>
              </w:rPr>
            </w:pPr>
            <w:r>
              <w:rPr>
                <w:rFonts w:hint="eastAsia" w:ascii="宋体" w:hAnsi="宋体" w:cs="宋体"/>
                <w:sz w:val="24"/>
              </w:rPr>
              <w:t>经济学基础(100分)</w:t>
            </w:r>
          </w:p>
        </w:tc>
      </w:tr>
      <w:tr w14:paraId="2422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14:paraId="0F2CBC30">
            <w:pPr>
              <w:adjustRightInd w:val="0"/>
              <w:snapToGrid w:val="0"/>
              <w:jc w:val="center"/>
              <w:rPr>
                <w:rFonts w:hint="eastAsia" w:ascii="宋体" w:hAnsi="宋体" w:cs="宋体"/>
                <w:sz w:val="24"/>
              </w:rPr>
            </w:pPr>
            <w:r>
              <w:rPr>
                <w:rFonts w:hint="eastAsia" w:ascii="宋体" w:hAnsi="宋体" w:cs="宋体"/>
                <w:sz w:val="24"/>
              </w:rPr>
              <w:t>2</w:t>
            </w:r>
          </w:p>
        </w:tc>
        <w:tc>
          <w:tcPr>
            <w:tcW w:w="1471" w:type="pct"/>
            <w:vAlign w:val="center"/>
          </w:tcPr>
          <w:p w14:paraId="412ECF8F">
            <w:pPr>
              <w:adjustRightInd w:val="0"/>
              <w:snapToGrid w:val="0"/>
              <w:rPr>
                <w:rFonts w:hint="eastAsia" w:ascii="宋体" w:hAnsi="宋体" w:cs="宋体"/>
                <w:sz w:val="24"/>
              </w:rPr>
            </w:pPr>
            <w:r>
              <w:rPr>
                <w:rFonts w:hint="eastAsia" w:ascii="宋体"/>
                <w:sz w:val="22"/>
              </w:rPr>
              <w:t>数据要素市场与智能应用</w:t>
            </w:r>
          </w:p>
        </w:tc>
        <w:tc>
          <w:tcPr>
            <w:tcW w:w="2038" w:type="pct"/>
            <w:vMerge w:val="continue"/>
            <w:vAlign w:val="center"/>
          </w:tcPr>
          <w:p w14:paraId="4ED98141">
            <w:pPr>
              <w:adjustRightInd w:val="0"/>
              <w:snapToGrid w:val="0"/>
              <w:rPr>
                <w:rFonts w:hint="eastAsia" w:ascii="宋体" w:hAnsi="宋体" w:cs="宋体"/>
                <w:sz w:val="24"/>
              </w:rPr>
            </w:pPr>
          </w:p>
        </w:tc>
        <w:tc>
          <w:tcPr>
            <w:tcW w:w="978" w:type="pct"/>
            <w:vMerge w:val="continue"/>
            <w:vAlign w:val="center"/>
          </w:tcPr>
          <w:p w14:paraId="187E5669">
            <w:pPr>
              <w:adjustRightInd w:val="0"/>
              <w:snapToGrid w:val="0"/>
              <w:rPr>
                <w:rFonts w:hint="eastAsia" w:ascii="宋体" w:hAnsi="宋体" w:cs="宋体"/>
                <w:sz w:val="24"/>
              </w:rPr>
            </w:pPr>
          </w:p>
        </w:tc>
      </w:tr>
      <w:tr w14:paraId="47BC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14:paraId="6EC77D14">
            <w:pPr>
              <w:adjustRightInd w:val="0"/>
              <w:snapToGrid w:val="0"/>
              <w:jc w:val="center"/>
              <w:rPr>
                <w:rFonts w:hint="eastAsia" w:ascii="宋体" w:hAnsi="宋体" w:cs="宋体"/>
                <w:sz w:val="24"/>
              </w:rPr>
            </w:pPr>
            <w:r>
              <w:rPr>
                <w:rFonts w:hint="eastAsia" w:ascii="宋体" w:hAnsi="宋体" w:cs="宋体"/>
                <w:sz w:val="24"/>
              </w:rPr>
              <w:t>3</w:t>
            </w:r>
          </w:p>
        </w:tc>
        <w:tc>
          <w:tcPr>
            <w:tcW w:w="1471" w:type="pct"/>
            <w:vAlign w:val="center"/>
          </w:tcPr>
          <w:p w14:paraId="3E5E31A0">
            <w:pPr>
              <w:adjustRightInd w:val="0"/>
              <w:snapToGrid w:val="0"/>
              <w:rPr>
                <w:rFonts w:hint="eastAsia" w:ascii="宋体" w:hAnsi="宋体" w:cs="宋体"/>
                <w:sz w:val="24"/>
              </w:rPr>
            </w:pPr>
            <w:r>
              <w:rPr>
                <w:rFonts w:hint="eastAsia" w:ascii="宋体" w:hAnsi="宋体" w:cs="宋体"/>
                <w:sz w:val="24"/>
              </w:rPr>
              <w:t>数字经济与数据资产统计测度</w:t>
            </w:r>
          </w:p>
        </w:tc>
        <w:tc>
          <w:tcPr>
            <w:tcW w:w="2038" w:type="pct"/>
            <w:vMerge w:val="continue"/>
            <w:vAlign w:val="center"/>
          </w:tcPr>
          <w:p w14:paraId="7CDE693E">
            <w:pPr>
              <w:adjustRightInd w:val="0"/>
              <w:snapToGrid w:val="0"/>
              <w:rPr>
                <w:rFonts w:hint="eastAsia" w:ascii="宋体" w:hAnsi="宋体" w:cs="宋体"/>
                <w:sz w:val="24"/>
              </w:rPr>
            </w:pPr>
          </w:p>
        </w:tc>
        <w:tc>
          <w:tcPr>
            <w:tcW w:w="978" w:type="pct"/>
            <w:vMerge w:val="continue"/>
            <w:vAlign w:val="center"/>
          </w:tcPr>
          <w:p w14:paraId="68F02EF0">
            <w:pPr>
              <w:adjustRightInd w:val="0"/>
              <w:snapToGrid w:val="0"/>
              <w:rPr>
                <w:rFonts w:hint="eastAsia" w:ascii="宋体" w:hAnsi="宋体" w:cs="宋体"/>
                <w:sz w:val="24"/>
              </w:rPr>
            </w:pPr>
          </w:p>
        </w:tc>
      </w:tr>
    </w:tbl>
    <w:p w14:paraId="5F324A55">
      <w:pPr>
        <w:adjustRightInd w:val="0"/>
        <w:snapToGrid w:val="0"/>
        <w:rPr>
          <w:rFonts w:hint="eastAsia" w:ascii="宋体" w:hAnsi="宋体" w:cs="宋体"/>
          <w:b/>
          <w:bCs/>
          <w:sz w:val="24"/>
        </w:rPr>
      </w:pPr>
      <w:r>
        <w:rPr>
          <w:rFonts w:hint="eastAsia" w:ascii="宋体" w:hAnsi="宋体" w:cs="宋体"/>
          <w:b/>
          <w:bCs/>
        </w:rPr>
        <w:t>▲</w:t>
      </w:r>
      <w:r>
        <w:rPr>
          <w:rFonts w:hint="eastAsia" w:ascii="宋体" w:hAnsi="宋体" w:cs="宋体"/>
          <w:b/>
          <w:bCs/>
          <w:color w:val="000000"/>
          <w:sz w:val="24"/>
        </w:rPr>
        <w:t>表示统考科目或联考科目，考试题型、考试大纲以教育部公布为准。其他为自命题科目。</w:t>
      </w:r>
    </w:p>
    <w:p w14:paraId="5E9B23DB">
      <w:pPr>
        <w:adjustRightInd w:val="0"/>
        <w:snapToGrid w:val="0"/>
        <w:rPr>
          <w:rFonts w:hint="eastAsia" w:ascii="宋体" w:hAnsi="宋体" w:cs="宋体"/>
          <w:b/>
          <w:sz w:val="24"/>
        </w:rPr>
      </w:pPr>
      <w:r>
        <w:rPr>
          <w:rFonts w:hint="eastAsia" w:ascii="宋体" w:hAnsi="宋体" w:cs="宋体"/>
          <w:b/>
          <w:sz w:val="24"/>
        </w:rPr>
        <w:t>考试题型 ：</w:t>
      </w:r>
    </w:p>
    <w:p w14:paraId="4C817FC3">
      <w:pPr>
        <w:adjustRightInd w:val="0"/>
        <w:snapToGrid w:val="0"/>
        <w:jc w:val="left"/>
        <w:rPr>
          <w:rFonts w:hint="eastAsia" w:ascii="宋体" w:hAnsi="宋体" w:cs="宋体"/>
          <w:b/>
          <w:sz w:val="24"/>
        </w:rPr>
      </w:pPr>
      <w:r>
        <w:rPr>
          <w:rFonts w:hint="eastAsia" w:ascii="宋体" w:hAnsi="宋体" w:cs="宋体"/>
          <w:b/>
          <w:sz w:val="24"/>
          <w:lang w:bidi="ar"/>
        </w:rPr>
        <w:t>《经济学基础》</w:t>
      </w:r>
    </w:p>
    <w:p w14:paraId="2F327A78">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一、名词解释（6题，每题5分，共30分）</w:t>
      </w:r>
    </w:p>
    <w:p w14:paraId="491E013A">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二、简答题（6题，每题10分，共60分）</w:t>
      </w:r>
    </w:p>
    <w:p w14:paraId="6A3E953F">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三、论述题（2题，每题30分，共60分）</w:t>
      </w:r>
    </w:p>
    <w:p w14:paraId="1D44C698">
      <w:pPr>
        <w:widowControl/>
        <w:snapToGrid w:val="0"/>
        <w:rPr>
          <w:rFonts w:hint="eastAsia" w:ascii="宋体" w:hAnsi="宋体" w:cs="宋体"/>
          <w:b/>
          <w:kern w:val="0"/>
          <w:sz w:val="24"/>
        </w:rPr>
      </w:pPr>
    </w:p>
    <w:p w14:paraId="24E3CA85">
      <w:pPr>
        <w:widowControl/>
        <w:snapToGrid w:val="0"/>
        <w:rPr>
          <w:rFonts w:hint="eastAsia" w:ascii="宋体" w:hAnsi="宋体" w:cs="宋体"/>
          <w:b/>
          <w:kern w:val="0"/>
          <w:sz w:val="24"/>
        </w:rPr>
      </w:pPr>
      <w:r>
        <w:rPr>
          <w:rFonts w:hint="eastAsia" w:ascii="宋体" w:hAnsi="宋体" w:cs="宋体"/>
          <w:b/>
          <w:kern w:val="0"/>
          <w:sz w:val="24"/>
        </w:rPr>
        <w:t xml:space="preserve">《数字经济学基础》考试题型： </w:t>
      </w:r>
    </w:p>
    <w:p w14:paraId="10F1CD81">
      <w:pPr>
        <w:snapToGrid w:val="0"/>
        <w:rPr>
          <w:rFonts w:hint="eastAsia" w:ascii="宋体" w:hAnsi="宋体" w:cs="宋体"/>
          <w:sz w:val="24"/>
          <w:shd w:val="clear" w:color="auto" w:fill="FFFFFF"/>
        </w:rPr>
      </w:pPr>
      <w:r>
        <w:rPr>
          <w:rFonts w:hint="eastAsia" w:ascii="宋体" w:hAnsi="宋体" w:cs="宋体"/>
          <w:sz w:val="24"/>
          <w:shd w:val="clear" w:color="auto" w:fill="FFFFFF"/>
        </w:rPr>
        <w:t>一、名词解释（6题，每题5分，共30分）</w:t>
      </w:r>
    </w:p>
    <w:p w14:paraId="52833B7A">
      <w:pPr>
        <w:snapToGrid w:val="0"/>
        <w:rPr>
          <w:rFonts w:hint="eastAsia" w:ascii="宋体" w:hAnsi="宋体" w:cs="宋体"/>
          <w:sz w:val="24"/>
          <w:shd w:val="clear" w:color="auto" w:fill="FFFFFF"/>
        </w:rPr>
      </w:pPr>
      <w:r>
        <w:rPr>
          <w:rFonts w:hint="eastAsia" w:ascii="宋体" w:hAnsi="宋体" w:cs="宋体"/>
          <w:sz w:val="24"/>
          <w:shd w:val="clear" w:color="auto" w:fill="FFFFFF"/>
        </w:rPr>
        <w:t>二、简答题  （4题，每题10分，共40分）</w:t>
      </w:r>
    </w:p>
    <w:p w14:paraId="362FEE5B">
      <w:pPr>
        <w:snapToGrid w:val="0"/>
        <w:rPr>
          <w:rFonts w:hint="eastAsia" w:ascii="宋体" w:hAnsi="宋体" w:cs="宋体"/>
          <w:sz w:val="24"/>
          <w:shd w:val="clear" w:color="auto" w:fill="FFFFFF"/>
        </w:rPr>
      </w:pPr>
      <w:r>
        <w:rPr>
          <w:rFonts w:hint="eastAsia" w:ascii="宋体" w:hAnsi="宋体" w:cs="宋体"/>
          <w:sz w:val="24"/>
          <w:shd w:val="clear" w:color="auto" w:fill="FFFFFF"/>
        </w:rPr>
        <w:t>三、论述题  （1题，每题30分，共30分）</w:t>
      </w:r>
    </w:p>
    <w:p w14:paraId="16E1F5DB">
      <w:pPr>
        <w:snapToGrid w:val="0"/>
        <w:rPr>
          <w:rFonts w:hint="eastAsia" w:ascii="宋体" w:hAnsi="宋体" w:cs="宋体"/>
          <w:sz w:val="24"/>
          <w:shd w:val="clear" w:color="auto" w:fill="FFFFFF"/>
        </w:rPr>
      </w:pPr>
    </w:p>
    <w:p w14:paraId="0EC60B77">
      <w:pPr>
        <w:snapToGrid w:val="0"/>
        <w:rPr>
          <w:rFonts w:hint="eastAsia" w:ascii="宋体" w:hAnsi="宋体" w:cs="宋体"/>
          <w:b/>
          <w:bCs/>
          <w:sz w:val="24"/>
          <w:shd w:val="clear" w:color="auto" w:fill="FFFFFF"/>
          <w:lang w:bidi="ar"/>
        </w:rPr>
      </w:pPr>
      <w:r>
        <w:rPr>
          <w:rFonts w:hint="eastAsia" w:ascii="宋体" w:hAnsi="宋体" w:cs="宋体"/>
          <w:b/>
          <w:bCs/>
          <w:sz w:val="24"/>
          <w:shd w:val="clear" w:color="auto" w:fill="FFFFFF"/>
          <w:lang w:bidi="ar"/>
        </w:rPr>
        <w:t>参考书目：</w:t>
      </w:r>
    </w:p>
    <w:p w14:paraId="4FB4929B">
      <w:pPr>
        <w:shd w:val="solid" w:color="FFFFFF" w:fill="auto"/>
        <w:autoSpaceDN w:val="0"/>
        <w:adjustRightInd w:val="0"/>
        <w:snapToGrid w:val="0"/>
        <w:rPr>
          <w:rFonts w:hint="eastAsia" w:ascii="宋体" w:hAnsi="宋体" w:eastAsia="宋体" w:cs="宋体"/>
          <w:sz w:val="24"/>
          <w:shd w:val="clear" w:color="auto" w:fill="FFFFFF"/>
          <w:lang w:eastAsia="zh-CN" w:bidi="ar"/>
        </w:rPr>
      </w:pPr>
      <w:r>
        <w:rPr>
          <w:rFonts w:hint="eastAsia" w:ascii="宋体" w:hAnsi="宋体" w:cs="宋体"/>
          <w:sz w:val="24"/>
          <w:shd w:val="clear" w:color="auto" w:fill="FFFFFF"/>
          <w:lang w:bidi="ar"/>
        </w:rPr>
        <w:t>初试参考书目：</w:t>
      </w:r>
      <w:r>
        <w:rPr>
          <w:rFonts w:hint="eastAsia" w:ascii="宋体" w:hAnsi="宋体" w:cs="宋体"/>
          <w:sz w:val="24"/>
          <w:szCs w:val="24"/>
          <w:shd w:val="clear" w:color="auto" w:fill="FFFFFF"/>
        </w:rPr>
        <w:t>高鸿业：《西方经济学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宏/微观</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》第</w:t>
      </w:r>
      <w:r>
        <w:rPr>
          <w:rFonts w:hint="eastAsia" w:ascii="宋体" w:hAnsi="宋体" w:cs="宋体"/>
          <w:sz w:val="24"/>
          <w:szCs w:val="24"/>
          <w:shd w:val="clear" w:color="auto" w:fill="FFFFFF"/>
          <w:lang w:val="en-US" w:eastAsia="zh-CN"/>
        </w:rPr>
        <w:t>8</w:t>
      </w:r>
      <w:r>
        <w:rPr>
          <w:rFonts w:hint="eastAsia" w:ascii="宋体" w:hAnsi="宋体" w:cs="宋体"/>
          <w:sz w:val="24"/>
          <w:szCs w:val="24"/>
          <w:shd w:val="clear" w:color="auto" w:fill="FFFFFF"/>
        </w:rPr>
        <w:t>版 ，中国人民大学出版社2</w:t>
      </w:r>
      <w:r>
        <w:rPr>
          <w:rFonts w:hint="eastAsia" w:ascii="宋体" w:hAnsi="宋体" w:cs="宋体"/>
          <w:sz w:val="24"/>
          <w:szCs w:val="24"/>
          <w:shd w:val="clear" w:color="auto" w:fill="FFFFFF"/>
          <w:lang w:val="en-US" w:eastAsia="zh-CN"/>
        </w:rPr>
        <w:t>021</w:t>
      </w:r>
      <w:r>
        <w:rPr>
          <w:rFonts w:hint="eastAsia" w:ascii="宋体" w:hAnsi="宋体" w:cs="宋体"/>
          <w:sz w:val="24"/>
          <w:szCs w:val="24"/>
          <w:shd w:val="clear" w:color="auto" w:fill="FFFFFF"/>
        </w:rPr>
        <w:t>年</w:t>
      </w:r>
      <w:r>
        <w:rPr>
          <w:rFonts w:hint="eastAsia" w:ascii="宋体" w:hAnsi="宋体" w:cs="宋体"/>
          <w:sz w:val="24"/>
          <w:szCs w:val="24"/>
          <w:shd w:val="clear" w:color="auto" w:fill="FFFFFF"/>
          <w:lang w:eastAsia="zh-CN"/>
        </w:rPr>
        <w:t>。</w:t>
      </w:r>
      <w:bookmarkStart w:id="0" w:name="_GoBack"/>
      <w:bookmarkEnd w:id="0"/>
    </w:p>
    <w:p w14:paraId="5C7C740B">
      <w:pPr>
        <w:adjustRightInd w:val="0"/>
        <w:snapToGrid w:val="0"/>
        <w:rPr>
          <w:rFonts w:hint="eastAsia" w:ascii="宋体" w:hAnsi="宋体" w:cs="宋体"/>
          <w:sz w:val="24"/>
          <w:shd w:val="clear" w:color="auto" w:fill="FFFFFF"/>
        </w:rPr>
      </w:pPr>
      <w:r>
        <w:rPr>
          <w:rFonts w:hint="eastAsia" w:ascii="宋体" w:hAnsi="宋体" w:cs="宋体"/>
          <w:sz w:val="24"/>
          <w:shd w:val="clear" w:color="auto" w:fill="FFFFFF"/>
          <w:lang w:bidi="ar"/>
        </w:rPr>
        <w:t>复试参考书目：</w:t>
      </w:r>
      <w:r>
        <w:rPr>
          <w:rFonts w:hint="eastAsia" w:ascii="宋体" w:hAnsi="宋体" w:cs="宋体"/>
          <w:sz w:val="24"/>
          <w:shd w:val="clear" w:color="auto" w:fill="FFFFFF"/>
        </w:rPr>
        <w:t>《数字经济学》，作者：孙毅，机械工程出版社，2022年。</w:t>
      </w:r>
    </w:p>
    <w:p w14:paraId="62B16B1F">
      <w:pPr>
        <w:shd w:val="solid" w:color="FFFFFF" w:fill="auto"/>
        <w:autoSpaceDN w:val="0"/>
        <w:adjustRightInd w:val="0"/>
        <w:snapToGrid w:val="0"/>
        <w:rPr>
          <w:rFonts w:hint="eastAsia" w:ascii="宋体" w:hAnsi="宋体" w:cs="宋体"/>
          <w:sz w:val="24"/>
          <w:shd w:val="clear" w:color="auto" w:fill="FFFFFF"/>
          <w:lang w:bidi="ar"/>
        </w:rPr>
      </w:pPr>
    </w:p>
    <w:p w14:paraId="4BE9F9F2">
      <w:pPr>
        <w:adjustRightInd w:val="0"/>
        <w:snapToGrid w:val="0"/>
        <w:rPr>
          <w:rFonts w:hint="eastAsia" w:ascii="宋体" w:hAnsi="宋体" w:cs="宋体"/>
          <w:sz w:val="24"/>
        </w:rPr>
      </w:pPr>
    </w:p>
    <w:p w14:paraId="73F89393">
      <w:pPr>
        <w:adjustRightInd w:val="0"/>
        <w:snapToGrid w:val="0"/>
        <w:rPr>
          <w:rFonts w:hint="eastAsia" w:ascii="宋体" w:hAnsi="宋体" w:cs="宋体"/>
          <w:b/>
          <w:sz w:val="24"/>
        </w:rPr>
      </w:pPr>
    </w:p>
    <w:p w14:paraId="11C692FE">
      <w:pPr>
        <w:adjustRightInd w:val="0"/>
        <w:snapToGrid w:val="0"/>
        <w:rPr>
          <w:rFonts w:hint="eastAsia" w:ascii="宋体" w:hAnsi="宋体" w:cs="宋体"/>
          <w:b/>
          <w:sz w:val="24"/>
        </w:rPr>
      </w:pPr>
      <w:r>
        <w:rPr>
          <w:rFonts w:hint="eastAsia" w:ascii="宋体" w:hAnsi="宋体" w:cs="宋体"/>
          <w:b/>
          <w:sz w:val="24"/>
        </w:rPr>
        <w:t>考试大纲</w:t>
      </w:r>
    </w:p>
    <w:p w14:paraId="12D88739">
      <w:pPr>
        <w:widowControl/>
        <w:adjustRightInd w:val="0"/>
        <w:snapToGrid w:val="0"/>
        <w:jc w:val="center"/>
        <w:rPr>
          <w:rFonts w:hint="eastAsia" w:ascii="宋体" w:hAnsi="宋体" w:cs="宋体"/>
          <w:bCs/>
          <w:kern w:val="0"/>
          <w:sz w:val="36"/>
          <w:szCs w:val="36"/>
        </w:rPr>
      </w:pPr>
      <w:r>
        <w:rPr>
          <w:rFonts w:hint="eastAsia" w:ascii="黑体" w:hAnsi="黑体" w:eastAsia="黑体" w:cs="黑体"/>
          <w:bCs/>
          <w:kern w:val="0"/>
          <w:sz w:val="36"/>
          <w:szCs w:val="36"/>
        </w:rPr>
        <w:t>《经济学基础》</w:t>
      </w:r>
    </w:p>
    <w:p w14:paraId="4235A6B6">
      <w:pPr>
        <w:adjustRightInd w:val="0"/>
        <w:snapToGrid w:val="0"/>
        <w:rPr>
          <w:rFonts w:hint="eastAsia" w:ascii="宋体" w:hAnsi="宋体" w:cs="宋体"/>
          <w:b/>
          <w:sz w:val="24"/>
        </w:rPr>
      </w:pPr>
    </w:p>
    <w:p w14:paraId="05AE8D3A">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《经济学基础》考试大纲概述：</w:t>
      </w:r>
    </w:p>
    <w:p w14:paraId="30DD2820">
      <w:pPr>
        <w:widowControl/>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34C463A0">
      <w:pPr>
        <w:widowControl/>
        <w:adjustRightInd w:val="0"/>
        <w:snapToGrid w:val="0"/>
        <w:rPr>
          <w:rFonts w:hint="eastAsia" w:ascii="宋体" w:hAnsi="宋体" w:cs="宋体"/>
          <w:b/>
          <w:bCs/>
          <w:color w:val="000000"/>
          <w:sz w:val="24"/>
          <w:shd w:val="clear" w:color="auto" w:fill="FFFFFF"/>
        </w:rPr>
      </w:pPr>
    </w:p>
    <w:p w14:paraId="1E984F56">
      <w:pPr>
        <w:widowControl/>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14:paraId="529A632C">
      <w:pPr>
        <w:widowControl/>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14:paraId="43E1CB2A">
      <w:pPr>
        <w:numPr>
          <w:ilvl w:val="0"/>
          <w:numId w:val="1"/>
        </w:numPr>
        <w:shd w:val="solid" w:color="FFFFFF" w:fill="auto"/>
        <w:autoSpaceDN w:val="0"/>
        <w:adjustRightInd w:val="0"/>
        <w:snapToGrid w:val="0"/>
        <w:rPr>
          <w:rFonts w:hint="eastAsia"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14:paraId="000C8B62">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14:paraId="76B4906D">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14:paraId="228F5500">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14:paraId="0741E145">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14:paraId="50C19EC3">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14:paraId="166C6A1D">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14:paraId="028A1794">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14:paraId="1BA60BFB">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14:paraId="715D74E6">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14:paraId="645FD166">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14:paraId="29E4DC0F">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14:paraId="5CAEAF0E">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14:paraId="2B6BC7C2">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14:paraId="73B0783F">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14:paraId="4812284E">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14:paraId="2B67AF44">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14:paraId="23A639D4">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14:paraId="615A8419">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14:paraId="38BA5CB2">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14:paraId="7727E22D">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14:paraId="364BF055">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14:paraId="7A01257B">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14:paraId="08FA7329">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14:paraId="2C2432F4">
      <w:pPr>
        <w:shd w:val="solid" w:color="FFFFFF" w:fill="auto"/>
        <w:autoSpaceDN w:val="0"/>
        <w:adjustRightInd w:val="0"/>
        <w:snapToGrid w:val="0"/>
        <w:rPr>
          <w:rFonts w:hint="eastAsia"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14:paraId="20520130">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14:paraId="655429C0">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14:paraId="29502A16">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14:paraId="0A9B7F74">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14:paraId="5FF8D9CF">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14:paraId="796CAA47">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14:paraId="72D05F8F">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14:paraId="35BDAB7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14:paraId="22CAC3A6">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14:paraId="2616ABE2">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14:paraId="583FF2AF">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14:paraId="4E6B0A93">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14:paraId="4D408DD9">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14:paraId="0FEAA0AF">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14:paraId="2C97E2EE">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14:paraId="3546901F">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14:paraId="4877892A">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14:paraId="271CD1CC">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14:paraId="333E3B62">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14:paraId="31CD9086">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14:paraId="22FB5D40">
      <w:pPr>
        <w:shd w:val="solid" w:color="FFFFFF" w:fill="auto"/>
        <w:autoSpaceDN w:val="0"/>
        <w:adjustRightInd w:val="0"/>
        <w:snapToGrid w:val="0"/>
        <w:rPr>
          <w:rFonts w:hint="eastAsia" w:ascii="宋体" w:hAnsi="宋体" w:cs="宋体"/>
          <w:b/>
          <w:bCs/>
          <w:color w:val="000000"/>
          <w:sz w:val="24"/>
          <w:shd w:val="clear" w:color="auto" w:fill="FFFFFF"/>
        </w:rPr>
      </w:pPr>
    </w:p>
    <w:p w14:paraId="11058AA2">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14:paraId="65DEDD4D">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14:paraId="26BA2084">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14:paraId="69E5F13E">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14:paraId="7834120D">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14:paraId="34FE89D9">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14:paraId="7007F81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14:paraId="7B77983C">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14:paraId="38815AD0">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14:paraId="1E68E770">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14:paraId="77FBEAF6">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14:paraId="6109F722">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14:paraId="20D30972">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14:paraId="0A13BD2C">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14:paraId="65467788">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14:paraId="6689FB56">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14:paraId="58B9C030">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14:paraId="71045A5A">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14:paraId="22823278">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14:paraId="4F48215F">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14:paraId="23DB81C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14:paraId="15C6C8A0">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14:paraId="1D35E149">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14:paraId="7064629D">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14:paraId="426926FA">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14:paraId="2813649B">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14:paraId="6A8CC9EC">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14:paraId="12F82735">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14:paraId="47791B96">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14:paraId="622615ED">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14:paraId="2C4136CA">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14:paraId="5200718F">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14:paraId="120EC5C0">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14:paraId="23B5FC3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14:paraId="500352D3">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14:paraId="30DE3BB0">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14:paraId="03CE8016">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14:paraId="5A271349">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14:paraId="26CEE799">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14:paraId="7C9730BE">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14:paraId="2417A248">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14:paraId="05DE1E9D">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14:paraId="16121DA4">
      <w:pPr>
        <w:shd w:val="solid" w:color="FFFFFF" w:fill="auto"/>
        <w:autoSpaceDN w:val="0"/>
        <w:adjustRightInd w:val="0"/>
        <w:snapToGrid w:val="0"/>
        <w:ind w:left="420"/>
        <w:rPr>
          <w:rFonts w:hint="eastAsia" w:ascii="宋体" w:hAnsi="宋体" w:cs="宋体"/>
          <w:color w:val="000000"/>
          <w:sz w:val="24"/>
          <w:shd w:val="clear" w:color="auto" w:fill="FFFFFF"/>
        </w:rPr>
      </w:pPr>
    </w:p>
    <w:p w14:paraId="2042D925">
      <w:pPr>
        <w:adjustRightInd w:val="0"/>
        <w:snapToGrid w:val="0"/>
        <w:jc w:val="center"/>
        <w:rPr>
          <w:rFonts w:hint="eastAsia" w:ascii="宋体" w:hAnsi="宋体" w:cs="宋体"/>
          <w:sz w:val="24"/>
        </w:rPr>
      </w:pPr>
    </w:p>
    <w:p w14:paraId="463A3388">
      <w:pPr>
        <w:adjustRightInd w:val="0"/>
        <w:snapToGrid w:val="0"/>
        <w:jc w:val="center"/>
        <w:rPr>
          <w:rFonts w:hint="eastAsia" w:ascii="宋体" w:hAnsi="宋体" w:cs="宋体"/>
          <w:sz w:val="24"/>
        </w:rPr>
      </w:pPr>
    </w:p>
    <w:p w14:paraId="299F0FCD">
      <w:pPr>
        <w:widowControl/>
        <w:adjustRightInd w:val="0"/>
        <w:snapToGrid w:val="0"/>
        <w:jc w:val="center"/>
        <w:rPr>
          <w:rFonts w:hint="eastAsia" w:ascii="黑体" w:hAnsi="黑体" w:eastAsia="黑体" w:cs="黑体"/>
          <w:bCs/>
          <w:kern w:val="0"/>
          <w:sz w:val="36"/>
          <w:szCs w:val="36"/>
        </w:rPr>
      </w:pPr>
      <w:r>
        <w:rPr>
          <w:rFonts w:hint="eastAsia" w:ascii="黑体" w:hAnsi="黑体" w:eastAsia="黑体" w:cs="黑体"/>
          <w:bCs/>
          <w:kern w:val="0"/>
          <w:sz w:val="36"/>
          <w:szCs w:val="36"/>
        </w:rPr>
        <w:t>《数字经济学基础》</w:t>
      </w:r>
    </w:p>
    <w:p w14:paraId="3D68DE05">
      <w:pPr>
        <w:widowControl/>
        <w:adjustRightInd w:val="0"/>
        <w:snapToGrid w:val="0"/>
        <w:rPr>
          <w:rFonts w:hint="eastAsia" w:ascii="宋体" w:hAnsi="宋体" w:cs="宋体"/>
          <w:b/>
          <w:kern w:val="0"/>
          <w:sz w:val="24"/>
        </w:rPr>
      </w:pPr>
    </w:p>
    <w:p w14:paraId="4BC13624">
      <w:pPr>
        <w:widowControl/>
        <w:adjustRightInd w:val="0"/>
        <w:snapToGrid w:val="0"/>
        <w:rPr>
          <w:rFonts w:hint="eastAsia" w:ascii="宋体" w:hAnsi="宋体" w:cs="宋体"/>
          <w:b/>
          <w:kern w:val="0"/>
          <w:sz w:val="24"/>
        </w:rPr>
      </w:pPr>
      <w:r>
        <w:rPr>
          <w:rFonts w:hint="eastAsia" w:ascii="宋体" w:hAnsi="宋体" w:cs="宋体"/>
          <w:b/>
          <w:kern w:val="0"/>
          <w:sz w:val="24"/>
        </w:rPr>
        <w:t>《数字经济学基础》考试大纲概述：</w:t>
      </w:r>
    </w:p>
    <w:p w14:paraId="6B725BFB">
      <w:pPr>
        <w:ind w:firstLine="480" w:firstLineChars="200"/>
        <w:rPr>
          <w:rFonts w:hint="eastAsia" w:ascii="宋体" w:hAnsi="宋体"/>
          <w:sz w:val="24"/>
        </w:rPr>
      </w:pPr>
      <w:r>
        <w:rPr>
          <w:rFonts w:hint="eastAsia" w:ascii="宋体" w:hAnsi="宋体"/>
          <w:sz w:val="24"/>
        </w:rPr>
        <w:t>学生应掌握数字经济学相关的基本概念、基本理论。考察学生对数字经济学基本知识的掌握和运用能力；注重对学生知识结构的考察，考察学生综合运用数字经济学知识解决相关实际问题的能力。</w:t>
      </w:r>
    </w:p>
    <w:p w14:paraId="3AD1376E">
      <w:pPr>
        <w:rPr>
          <w:rFonts w:hint="eastAsia" w:ascii="宋体" w:hAnsi="宋体"/>
          <w:b/>
          <w:sz w:val="24"/>
        </w:rPr>
      </w:pPr>
    </w:p>
    <w:p w14:paraId="000EB53C">
      <w:pPr>
        <w:rPr>
          <w:rFonts w:hint="eastAsia" w:ascii="宋体" w:hAnsi="宋体"/>
          <w:bCs/>
          <w:sz w:val="24"/>
        </w:rPr>
      </w:pPr>
      <w:r>
        <w:rPr>
          <w:rFonts w:hint="eastAsia" w:ascii="宋体" w:hAnsi="宋体"/>
          <w:bCs/>
          <w:sz w:val="24"/>
        </w:rPr>
        <w:t>一、免费的销售策略</w:t>
      </w:r>
    </w:p>
    <w:p w14:paraId="65504B95">
      <w:pPr>
        <w:ind w:firstLine="480" w:firstLineChars="200"/>
        <w:rPr>
          <w:rFonts w:hint="eastAsia" w:ascii="宋体" w:hAnsi="宋体"/>
          <w:bCs/>
          <w:sz w:val="24"/>
        </w:rPr>
      </w:pPr>
      <w:r>
        <w:rPr>
          <w:rFonts w:hint="eastAsia" w:ascii="宋体" w:hAnsi="宋体"/>
          <w:bCs/>
          <w:sz w:val="24"/>
        </w:rPr>
        <w:t>数字产品</w:t>
      </w:r>
    </w:p>
    <w:p w14:paraId="11AEDA42">
      <w:pPr>
        <w:ind w:firstLine="480" w:firstLineChars="200"/>
        <w:rPr>
          <w:rFonts w:hint="eastAsia" w:ascii="宋体" w:hAnsi="宋体"/>
          <w:bCs/>
          <w:sz w:val="24"/>
        </w:rPr>
      </w:pPr>
      <w:r>
        <w:rPr>
          <w:rFonts w:hint="eastAsia" w:ascii="宋体" w:hAnsi="宋体"/>
          <w:bCs/>
          <w:sz w:val="24"/>
        </w:rPr>
        <w:t>完全免费策略</w:t>
      </w:r>
    </w:p>
    <w:p w14:paraId="6C6B80CA">
      <w:pPr>
        <w:ind w:firstLine="480" w:firstLineChars="200"/>
        <w:rPr>
          <w:rFonts w:hint="eastAsia" w:ascii="宋体" w:hAnsi="宋体"/>
          <w:bCs/>
          <w:sz w:val="24"/>
        </w:rPr>
      </w:pPr>
      <w:r>
        <w:rPr>
          <w:rFonts w:hint="eastAsia" w:ascii="宋体" w:hAnsi="宋体"/>
          <w:bCs/>
          <w:sz w:val="24"/>
        </w:rPr>
        <w:t>部分免费策略</w:t>
      </w:r>
    </w:p>
    <w:p w14:paraId="5F4D58C1">
      <w:pPr>
        <w:ind w:firstLine="480" w:firstLineChars="200"/>
        <w:rPr>
          <w:rFonts w:hint="eastAsia" w:ascii="宋体" w:hAnsi="宋体"/>
          <w:bCs/>
          <w:sz w:val="24"/>
        </w:rPr>
      </w:pPr>
      <w:r>
        <w:rPr>
          <w:rFonts w:hint="eastAsia" w:ascii="宋体" w:hAnsi="宋体"/>
          <w:bCs/>
          <w:sz w:val="24"/>
        </w:rPr>
        <w:t>锁定效应</w:t>
      </w:r>
    </w:p>
    <w:p w14:paraId="6CCFF7A6">
      <w:pPr>
        <w:rPr>
          <w:rFonts w:hint="eastAsia" w:ascii="宋体" w:hAnsi="宋体"/>
          <w:bCs/>
          <w:sz w:val="24"/>
        </w:rPr>
      </w:pPr>
      <w:r>
        <w:rPr>
          <w:rFonts w:hint="eastAsia" w:ascii="宋体" w:hAnsi="宋体"/>
          <w:bCs/>
          <w:sz w:val="24"/>
        </w:rPr>
        <w:t>二、数字市场价格歧视</w:t>
      </w:r>
    </w:p>
    <w:p w14:paraId="409D37BA">
      <w:pPr>
        <w:ind w:firstLine="480" w:firstLineChars="200"/>
        <w:rPr>
          <w:rFonts w:hint="eastAsia" w:ascii="宋体" w:hAnsi="宋体"/>
          <w:bCs/>
          <w:sz w:val="24"/>
        </w:rPr>
      </w:pPr>
      <w:r>
        <w:rPr>
          <w:rFonts w:hint="eastAsia" w:ascii="宋体" w:hAnsi="宋体"/>
          <w:bCs/>
          <w:sz w:val="24"/>
        </w:rPr>
        <w:t>在线拍卖</w:t>
      </w:r>
    </w:p>
    <w:p w14:paraId="1690BC76">
      <w:pPr>
        <w:ind w:firstLine="480" w:firstLineChars="200"/>
        <w:rPr>
          <w:rFonts w:hint="eastAsia" w:ascii="宋体" w:hAnsi="宋体"/>
          <w:bCs/>
          <w:sz w:val="24"/>
        </w:rPr>
      </w:pPr>
      <w:r>
        <w:rPr>
          <w:rFonts w:hint="eastAsia" w:ascii="宋体" w:hAnsi="宋体"/>
          <w:bCs/>
          <w:sz w:val="24"/>
        </w:rPr>
        <w:t>个性化定价</w:t>
      </w:r>
    </w:p>
    <w:p w14:paraId="456C4038">
      <w:pPr>
        <w:ind w:firstLine="480" w:firstLineChars="200"/>
        <w:rPr>
          <w:rFonts w:hint="eastAsia" w:ascii="宋体" w:hAnsi="宋体"/>
          <w:bCs/>
          <w:sz w:val="24"/>
        </w:rPr>
      </w:pPr>
      <w:r>
        <w:rPr>
          <w:rFonts w:hint="eastAsia" w:ascii="宋体" w:hAnsi="宋体"/>
          <w:bCs/>
          <w:sz w:val="24"/>
        </w:rPr>
        <w:t>捆绑销售</w:t>
      </w:r>
    </w:p>
    <w:p w14:paraId="58BB3A52">
      <w:pPr>
        <w:rPr>
          <w:rFonts w:hint="eastAsia" w:ascii="宋体" w:hAnsi="宋体"/>
          <w:bCs/>
          <w:sz w:val="24"/>
        </w:rPr>
      </w:pPr>
      <w:r>
        <w:rPr>
          <w:rFonts w:hint="eastAsia" w:ascii="宋体" w:hAnsi="宋体"/>
          <w:bCs/>
          <w:sz w:val="24"/>
        </w:rPr>
        <w:t>三、搜索成本</w:t>
      </w:r>
    </w:p>
    <w:p w14:paraId="494D75D7">
      <w:pPr>
        <w:ind w:firstLine="480" w:firstLineChars="200"/>
        <w:rPr>
          <w:rFonts w:hint="eastAsia" w:ascii="宋体" w:hAnsi="宋体"/>
          <w:bCs/>
          <w:sz w:val="24"/>
        </w:rPr>
      </w:pPr>
      <w:r>
        <w:rPr>
          <w:rFonts w:hint="eastAsia" w:ascii="宋体" w:hAnsi="宋体"/>
          <w:bCs/>
          <w:sz w:val="24"/>
        </w:rPr>
        <w:t>数字经济中的搜索成本</w:t>
      </w:r>
    </w:p>
    <w:p w14:paraId="4F82645E">
      <w:pPr>
        <w:ind w:firstLine="480" w:firstLineChars="200"/>
        <w:rPr>
          <w:rFonts w:hint="eastAsia" w:ascii="宋体" w:hAnsi="宋体"/>
          <w:bCs/>
          <w:sz w:val="24"/>
        </w:rPr>
      </w:pPr>
      <w:r>
        <w:rPr>
          <w:rFonts w:hint="eastAsia" w:ascii="宋体" w:hAnsi="宋体"/>
          <w:bCs/>
          <w:sz w:val="24"/>
        </w:rPr>
        <w:t>价格离散与最优搜索次数</w:t>
      </w:r>
    </w:p>
    <w:p w14:paraId="324F7AC9">
      <w:pPr>
        <w:ind w:firstLine="480" w:firstLineChars="200"/>
        <w:rPr>
          <w:rFonts w:hint="eastAsia" w:ascii="宋体" w:hAnsi="宋体"/>
          <w:bCs/>
          <w:sz w:val="24"/>
        </w:rPr>
      </w:pPr>
      <w:r>
        <w:rPr>
          <w:rFonts w:hint="eastAsia" w:ascii="宋体" w:hAnsi="宋体"/>
          <w:bCs/>
          <w:sz w:val="24"/>
        </w:rPr>
        <w:t>电子商务的市场效率</w:t>
      </w:r>
    </w:p>
    <w:p w14:paraId="1800DC92">
      <w:pPr>
        <w:rPr>
          <w:rFonts w:hint="eastAsia" w:ascii="宋体" w:hAnsi="宋体"/>
          <w:bCs/>
          <w:sz w:val="24"/>
        </w:rPr>
      </w:pPr>
      <w:r>
        <w:rPr>
          <w:rFonts w:hint="eastAsia" w:ascii="宋体" w:hAnsi="宋体"/>
          <w:bCs/>
          <w:sz w:val="24"/>
        </w:rPr>
        <w:t>四、稠密市场</w:t>
      </w:r>
    </w:p>
    <w:p w14:paraId="726D9867">
      <w:pPr>
        <w:ind w:firstLine="480" w:firstLineChars="200"/>
        <w:rPr>
          <w:rFonts w:hint="eastAsia" w:ascii="宋体" w:hAnsi="宋体"/>
          <w:bCs/>
          <w:sz w:val="24"/>
        </w:rPr>
      </w:pPr>
      <w:r>
        <w:rPr>
          <w:rFonts w:hint="eastAsia" w:ascii="宋体" w:hAnsi="宋体"/>
          <w:bCs/>
          <w:sz w:val="24"/>
        </w:rPr>
        <w:t>稠密市场的几种形式</w:t>
      </w:r>
    </w:p>
    <w:p w14:paraId="7F11BC07">
      <w:pPr>
        <w:ind w:firstLine="480" w:firstLineChars="200"/>
        <w:rPr>
          <w:rFonts w:hint="eastAsia" w:ascii="宋体" w:hAnsi="宋体"/>
          <w:bCs/>
          <w:sz w:val="24"/>
        </w:rPr>
      </w:pPr>
      <w:r>
        <w:rPr>
          <w:rFonts w:hint="eastAsia" w:ascii="宋体" w:hAnsi="宋体"/>
          <w:bCs/>
          <w:sz w:val="24"/>
        </w:rPr>
        <w:t>稠密市场的交易机制</w:t>
      </w:r>
    </w:p>
    <w:p w14:paraId="472211B4">
      <w:pPr>
        <w:ind w:firstLine="480" w:firstLineChars="200"/>
        <w:rPr>
          <w:rFonts w:hint="eastAsia" w:ascii="宋体" w:hAnsi="宋体"/>
          <w:bCs/>
          <w:sz w:val="24"/>
        </w:rPr>
      </w:pPr>
      <w:r>
        <w:rPr>
          <w:rFonts w:hint="eastAsia" w:ascii="宋体" w:hAnsi="宋体"/>
          <w:bCs/>
          <w:sz w:val="24"/>
        </w:rPr>
        <w:t>稠密市场的定价</w:t>
      </w:r>
    </w:p>
    <w:p w14:paraId="66EE094B">
      <w:pPr>
        <w:rPr>
          <w:rFonts w:hint="eastAsia" w:ascii="宋体" w:hAnsi="宋体"/>
          <w:bCs/>
          <w:sz w:val="24"/>
        </w:rPr>
      </w:pPr>
      <w:r>
        <w:rPr>
          <w:rFonts w:hint="eastAsia" w:ascii="宋体" w:hAnsi="宋体"/>
          <w:bCs/>
          <w:sz w:val="24"/>
        </w:rPr>
        <w:t>五、网络外部性</w:t>
      </w:r>
    </w:p>
    <w:p w14:paraId="1FC0F8F6">
      <w:pPr>
        <w:ind w:firstLine="480" w:firstLineChars="200"/>
        <w:rPr>
          <w:rFonts w:hint="eastAsia" w:ascii="宋体" w:hAnsi="宋体"/>
          <w:bCs/>
          <w:sz w:val="24"/>
        </w:rPr>
      </w:pPr>
      <w:r>
        <w:rPr>
          <w:rFonts w:hint="eastAsia" w:ascii="宋体" w:hAnsi="宋体"/>
          <w:bCs/>
          <w:sz w:val="24"/>
        </w:rPr>
        <w:t>网络外部性的基本概念</w:t>
      </w:r>
    </w:p>
    <w:p w14:paraId="1DD2D2CF">
      <w:pPr>
        <w:ind w:firstLine="480" w:firstLineChars="200"/>
        <w:rPr>
          <w:rFonts w:hint="eastAsia" w:ascii="宋体" w:hAnsi="宋体"/>
          <w:bCs/>
          <w:sz w:val="24"/>
        </w:rPr>
      </w:pPr>
      <w:r>
        <w:rPr>
          <w:rFonts w:hint="eastAsia" w:ascii="宋体" w:hAnsi="宋体"/>
          <w:bCs/>
          <w:sz w:val="24"/>
        </w:rPr>
        <w:t>网络外部性与用户选择</w:t>
      </w:r>
    </w:p>
    <w:p w14:paraId="54F188D4">
      <w:pPr>
        <w:ind w:firstLine="480" w:firstLineChars="200"/>
        <w:rPr>
          <w:rFonts w:hint="eastAsia" w:ascii="宋体" w:hAnsi="宋体"/>
          <w:bCs/>
          <w:sz w:val="24"/>
        </w:rPr>
      </w:pPr>
      <w:r>
        <w:rPr>
          <w:rFonts w:hint="eastAsia" w:ascii="宋体" w:hAnsi="宋体"/>
          <w:bCs/>
          <w:sz w:val="24"/>
        </w:rPr>
        <w:t>网络外部性与企业定价</w:t>
      </w:r>
    </w:p>
    <w:p w14:paraId="7B674B19">
      <w:pPr>
        <w:ind w:firstLine="480" w:firstLineChars="200"/>
        <w:rPr>
          <w:rFonts w:hint="eastAsia" w:ascii="宋体" w:hAnsi="宋体"/>
          <w:bCs/>
          <w:sz w:val="24"/>
        </w:rPr>
      </w:pPr>
      <w:r>
        <w:rPr>
          <w:rFonts w:hint="eastAsia" w:ascii="宋体" w:hAnsi="宋体"/>
          <w:bCs/>
          <w:sz w:val="24"/>
        </w:rPr>
        <w:t>网络外部性与市场垄断</w:t>
      </w:r>
    </w:p>
    <w:p w14:paraId="72C59607">
      <w:pPr>
        <w:rPr>
          <w:rFonts w:hint="eastAsia" w:ascii="宋体" w:hAnsi="宋体"/>
          <w:bCs/>
          <w:sz w:val="24"/>
        </w:rPr>
      </w:pPr>
      <w:r>
        <w:rPr>
          <w:rFonts w:hint="eastAsia" w:ascii="宋体" w:hAnsi="宋体"/>
          <w:bCs/>
          <w:sz w:val="24"/>
        </w:rPr>
        <w:t>六、双边市场</w:t>
      </w:r>
    </w:p>
    <w:p w14:paraId="5223DE65">
      <w:pPr>
        <w:ind w:firstLine="480" w:firstLineChars="200"/>
        <w:rPr>
          <w:rFonts w:hint="eastAsia" w:ascii="宋体" w:hAnsi="宋体"/>
          <w:bCs/>
          <w:sz w:val="24"/>
        </w:rPr>
      </w:pPr>
      <w:r>
        <w:rPr>
          <w:rFonts w:hint="eastAsia" w:ascii="宋体" w:hAnsi="宋体"/>
          <w:bCs/>
          <w:sz w:val="24"/>
        </w:rPr>
        <w:t>双边市场的定义与分类</w:t>
      </w:r>
    </w:p>
    <w:p w14:paraId="148354C8">
      <w:pPr>
        <w:ind w:firstLine="480" w:firstLineChars="200"/>
        <w:rPr>
          <w:rFonts w:hint="eastAsia" w:ascii="宋体" w:hAnsi="宋体"/>
          <w:bCs/>
          <w:sz w:val="24"/>
        </w:rPr>
      </w:pPr>
      <w:r>
        <w:rPr>
          <w:rFonts w:hint="eastAsia" w:ascii="宋体" w:hAnsi="宋体"/>
          <w:bCs/>
          <w:sz w:val="24"/>
        </w:rPr>
        <w:t>双边市场的定价模型</w:t>
      </w:r>
    </w:p>
    <w:p w14:paraId="69960C71">
      <w:pPr>
        <w:ind w:firstLine="480" w:firstLineChars="200"/>
        <w:rPr>
          <w:rFonts w:hint="eastAsia" w:ascii="宋体" w:hAnsi="宋体"/>
          <w:bCs/>
          <w:sz w:val="24"/>
        </w:rPr>
      </w:pPr>
      <w:r>
        <w:rPr>
          <w:rFonts w:hint="eastAsia" w:ascii="宋体" w:hAnsi="宋体"/>
          <w:bCs/>
          <w:sz w:val="24"/>
        </w:rPr>
        <w:t>双边市场的补贴策略</w:t>
      </w:r>
    </w:p>
    <w:p w14:paraId="741FE2BD">
      <w:pPr>
        <w:ind w:firstLine="480" w:firstLineChars="200"/>
        <w:rPr>
          <w:rFonts w:hint="eastAsia" w:ascii="宋体" w:hAnsi="宋体"/>
          <w:bCs/>
          <w:sz w:val="24"/>
        </w:rPr>
      </w:pPr>
      <w:r>
        <w:rPr>
          <w:rFonts w:hint="eastAsia" w:ascii="宋体" w:hAnsi="宋体"/>
          <w:bCs/>
          <w:sz w:val="24"/>
        </w:rPr>
        <w:t>双边市场与纵向一体化</w:t>
      </w:r>
    </w:p>
    <w:p w14:paraId="3F831CC9">
      <w:pPr>
        <w:rPr>
          <w:rFonts w:hint="eastAsia" w:ascii="宋体" w:hAnsi="宋体"/>
          <w:bCs/>
          <w:sz w:val="24"/>
        </w:rPr>
      </w:pPr>
      <w:r>
        <w:rPr>
          <w:rFonts w:hint="eastAsia" w:ascii="宋体" w:hAnsi="宋体"/>
          <w:bCs/>
          <w:sz w:val="24"/>
        </w:rPr>
        <w:t>七、平台经济</w:t>
      </w:r>
    </w:p>
    <w:p w14:paraId="6AB0804A">
      <w:pPr>
        <w:ind w:firstLine="480" w:firstLineChars="200"/>
        <w:rPr>
          <w:rFonts w:hint="eastAsia" w:ascii="宋体" w:hAnsi="宋体"/>
          <w:bCs/>
          <w:sz w:val="24"/>
        </w:rPr>
      </w:pPr>
      <w:r>
        <w:rPr>
          <w:rFonts w:hint="eastAsia" w:ascii="宋体" w:hAnsi="宋体"/>
          <w:bCs/>
          <w:sz w:val="24"/>
        </w:rPr>
        <w:t>平台经济的基本内涵</w:t>
      </w:r>
    </w:p>
    <w:p w14:paraId="4E5CF9E2">
      <w:pPr>
        <w:ind w:firstLine="480" w:firstLineChars="200"/>
        <w:rPr>
          <w:rFonts w:hint="eastAsia" w:ascii="宋体" w:hAnsi="宋体"/>
          <w:bCs/>
          <w:sz w:val="24"/>
        </w:rPr>
      </w:pPr>
      <w:r>
        <w:rPr>
          <w:rFonts w:hint="eastAsia" w:ascii="宋体" w:hAnsi="宋体"/>
          <w:bCs/>
          <w:sz w:val="24"/>
        </w:rPr>
        <w:t>平台经济的结构与竞争</w:t>
      </w:r>
    </w:p>
    <w:p w14:paraId="7FF2F181">
      <w:pPr>
        <w:ind w:firstLine="480" w:firstLineChars="200"/>
        <w:rPr>
          <w:rFonts w:hint="eastAsia" w:ascii="宋体" w:hAnsi="宋体"/>
          <w:bCs/>
          <w:sz w:val="24"/>
        </w:rPr>
      </w:pPr>
      <w:r>
        <w:rPr>
          <w:rFonts w:hint="eastAsia" w:ascii="宋体" w:hAnsi="宋体"/>
          <w:bCs/>
          <w:sz w:val="24"/>
        </w:rPr>
        <w:t>平台竞争的“触媒”效应</w:t>
      </w:r>
    </w:p>
    <w:p w14:paraId="6C60E2E1">
      <w:pPr>
        <w:rPr>
          <w:rFonts w:hint="eastAsia" w:ascii="宋体" w:hAnsi="宋体"/>
          <w:bCs/>
          <w:sz w:val="24"/>
        </w:rPr>
      </w:pPr>
      <w:r>
        <w:rPr>
          <w:rFonts w:hint="eastAsia" w:ascii="宋体" w:hAnsi="宋体"/>
          <w:bCs/>
          <w:sz w:val="24"/>
        </w:rPr>
        <w:t>八、兼容性与网络竞争</w:t>
      </w:r>
    </w:p>
    <w:p w14:paraId="0903D81F">
      <w:pPr>
        <w:ind w:firstLine="480" w:firstLineChars="200"/>
        <w:rPr>
          <w:rFonts w:hint="eastAsia" w:ascii="宋体" w:hAnsi="宋体"/>
          <w:bCs/>
          <w:sz w:val="24"/>
        </w:rPr>
      </w:pPr>
      <w:r>
        <w:rPr>
          <w:rFonts w:hint="eastAsia" w:ascii="宋体" w:hAnsi="宋体"/>
          <w:bCs/>
          <w:sz w:val="24"/>
        </w:rPr>
        <w:t>网络接入</w:t>
      </w:r>
    </w:p>
    <w:p w14:paraId="6125541B">
      <w:pPr>
        <w:ind w:firstLine="480" w:firstLineChars="200"/>
        <w:rPr>
          <w:rFonts w:hint="eastAsia" w:ascii="宋体" w:hAnsi="宋体"/>
          <w:bCs/>
          <w:sz w:val="24"/>
        </w:rPr>
      </w:pPr>
      <w:r>
        <w:rPr>
          <w:rFonts w:hint="eastAsia" w:ascii="宋体" w:hAnsi="宋体"/>
          <w:bCs/>
          <w:sz w:val="24"/>
        </w:rPr>
        <w:t>瓶颈竞争</w:t>
      </w:r>
    </w:p>
    <w:p w14:paraId="456FC8C3">
      <w:pPr>
        <w:ind w:firstLine="480" w:firstLineChars="200"/>
        <w:rPr>
          <w:rFonts w:hint="eastAsia" w:ascii="宋体" w:hAnsi="宋体"/>
          <w:bCs/>
          <w:sz w:val="24"/>
        </w:rPr>
      </w:pPr>
      <w:r>
        <w:rPr>
          <w:rFonts w:hint="eastAsia" w:ascii="宋体" w:hAnsi="宋体"/>
          <w:bCs/>
          <w:sz w:val="24"/>
        </w:rPr>
        <w:t>兼容策略</w:t>
      </w:r>
    </w:p>
    <w:p w14:paraId="756B170E">
      <w:pPr>
        <w:rPr>
          <w:rFonts w:hint="eastAsia" w:ascii="宋体" w:hAnsi="宋体"/>
          <w:bCs/>
          <w:sz w:val="24"/>
        </w:rPr>
      </w:pPr>
      <w:r>
        <w:rPr>
          <w:rFonts w:hint="eastAsia" w:ascii="宋体" w:hAnsi="宋体"/>
          <w:bCs/>
          <w:sz w:val="24"/>
        </w:rPr>
        <w:t>九、平台垄断</w:t>
      </w:r>
    </w:p>
    <w:p w14:paraId="46435B0D">
      <w:pPr>
        <w:ind w:firstLine="480" w:firstLineChars="200"/>
        <w:rPr>
          <w:rFonts w:hint="eastAsia" w:ascii="宋体" w:hAnsi="宋体"/>
          <w:bCs/>
          <w:sz w:val="24"/>
        </w:rPr>
      </w:pPr>
      <w:r>
        <w:rPr>
          <w:rFonts w:hint="eastAsia" w:ascii="宋体" w:hAnsi="宋体"/>
          <w:bCs/>
          <w:sz w:val="24"/>
        </w:rPr>
        <w:t>网络接入</w:t>
      </w:r>
    </w:p>
    <w:p w14:paraId="48E5AB1E">
      <w:pPr>
        <w:ind w:firstLine="480" w:firstLineChars="200"/>
        <w:rPr>
          <w:rFonts w:hint="eastAsia" w:ascii="宋体" w:hAnsi="宋体"/>
          <w:bCs/>
          <w:sz w:val="24"/>
        </w:rPr>
      </w:pPr>
      <w:r>
        <w:rPr>
          <w:rFonts w:hint="eastAsia" w:ascii="宋体" w:hAnsi="宋体"/>
          <w:bCs/>
          <w:sz w:val="24"/>
        </w:rPr>
        <w:t>瓶颈竞争</w:t>
      </w:r>
    </w:p>
    <w:p w14:paraId="246A1001">
      <w:pPr>
        <w:ind w:firstLine="480" w:firstLineChars="200"/>
        <w:rPr>
          <w:rFonts w:hint="eastAsia" w:ascii="宋体" w:hAnsi="宋体"/>
          <w:bCs/>
          <w:sz w:val="24"/>
        </w:rPr>
      </w:pPr>
      <w:r>
        <w:rPr>
          <w:rFonts w:hint="eastAsia" w:ascii="宋体" w:hAnsi="宋体"/>
          <w:bCs/>
          <w:sz w:val="24"/>
        </w:rPr>
        <w:t>兼容策略</w:t>
      </w:r>
    </w:p>
    <w:p w14:paraId="657C6C4E">
      <w:pPr>
        <w:rPr>
          <w:rFonts w:hint="eastAsia" w:ascii="宋体" w:hAnsi="宋体"/>
          <w:bCs/>
          <w:sz w:val="24"/>
        </w:rPr>
      </w:pPr>
      <w:r>
        <w:rPr>
          <w:rFonts w:hint="eastAsia" w:ascii="宋体" w:hAnsi="宋体"/>
          <w:bCs/>
          <w:sz w:val="24"/>
        </w:rPr>
        <w:t>十、数字经济统计核算</w:t>
      </w:r>
    </w:p>
    <w:p w14:paraId="76203369">
      <w:pPr>
        <w:ind w:firstLine="480" w:firstLineChars="200"/>
        <w:rPr>
          <w:rFonts w:hint="eastAsia" w:ascii="宋体" w:hAnsi="宋体"/>
          <w:bCs/>
          <w:sz w:val="24"/>
        </w:rPr>
      </w:pPr>
      <w:r>
        <w:rPr>
          <w:rFonts w:hint="eastAsia" w:ascii="宋体" w:hAnsi="宋体"/>
          <w:bCs/>
          <w:sz w:val="24"/>
        </w:rPr>
        <w:t>数字经济统计核算的主要问题</w:t>
      </w:r>
    </w:p>
    <w:p w14:paraId="63B054FB">
      <w:pPr>
        <w:ind w:firstLine="480" w:firstLineChars="200"/>
        <w:rPr>
          <w:rFonts w:hint="eastAsia" w:ascii="宋体" w:hAnsi="宋体"/>
          <w:bCs/>
          <w:sz w:val="24"/>
        </w:rPr>
      </w:pPr>
      <w:r>
        <w:rPr>
          <w:rFonts w:hint="eastAsia" w:ascii="宋体" w:hAnsi="宋体"/>
          <w:bCs/>
          <w:sz w:val="24"/>
        </w:rPr>
        <w:t>数字经济统计核算方法</w:t>
      </w:r>
    </w:p>
    <w:p w14:paraId="216D8490">
      <w:pPr>
        <w:ind w:firstLine="480" w:firstLineChars="200"/>
        <w:rPr>
          <w:rFonts w:hint="eastAsia" w:ascii="宋体" w:hAnsi="宋体"/>
          <w:bCs/>
          <w:sz w:val="24"/>
        </w:rPr>
      </w:pPr>
      <w:r>
        <w:rPr>
          <w:rFonts w:hint="eastAsia" w:ascii="宋体" w:hAnsi="宋体"/>
          <w:bCs/>
          <w:sz w:val="24"/>
        </w:rPr>
        <w:t>数字经济卫星账户</w:t>
      </w:r>
    </w:p>
    <w:p w14:paraId="231163EC">
      <w:pPr>
        <w:ind w:firstLine="480" w:firstLineChars="200"/>
        <w:rPr>
          <w:rFonts w:hint="eastAsia" w:ascii="宋体" w:hAnsi="宋体"/>
          <w:bCs/>
          <w:sz w:val="24"/>
        </w:rPr>
      </w:pPr>
      <w:r>
        <w:rPr>
          <w:rFonts w:hint="eastAsia" w:ascii="宋体" w:hAnsi="宋体"/>
          <w:bCs/>
          <w:sz w:val="24"/>
        </w:rPr>
        <w:t>数字经济的溢出效应</w:t>
      </w:r>
    </w:p>
    <w:p w14:paraId="57664A16">
      <w:pPr>
        <w:ind w:firstLine="480" w:firstLineChars="200"/>
        <w:rPr>
          <w:rFonts w:hint="eastAsia" w:ascii="宋体" w:hAnsi="宋体"/>
          <w:bCs/>
          <w:sz w:val="24"/>
        </w:rPr>
      </w:pPr>
      <w:r>
        <w:rPr>
          <w:rFonts w:hint="eastAsia" w:ascii="宋体" w:hAnsi="宋体"/>
          <w:bCs/>
          <w:sz w:val="24"/>
        </w:rPr>
        <w:t>数字经济发展水平的评估</w:t>
      </w:r>
    </w:p>
    <w:p w14:paraId="535A47A4">
      <w:pPr>
        <w:rPr>
          <w:rFonts w:hint="eastAsia" w:ascii="宋体" w:hAnsi="宋体"/>
          <w:bCs/>
          <w:sz w:val="24"/>
        </w:rPr>
      </w:pPr>
      <w:r>
        <w:rPr>
          <w:rFonts w:hint="eastAsia" w:ascii="宋体" w:hAnsi="宋体"/>
          <w:bCs/>
          <w:sz w:val="24"/>
        </w:rPr>
        <w:t>十一、数字经济与就业</w:t>
      </w:r>
    </w:p>
    <w:p w14:paraId="61D3D763">
      <w:pPr>
        <w:ind w:firstLine="480" w:firstLineChars="200"/>
        <w:rPr>
          <w:rFonts w:hint="eastAsia" w:ascii="宋体" w:hAnsi="宋体"/>
          <w:bCs/>
          <w:sz w:val="24"/>
        </w:rPr>
      </w:pPr>
      <w:r>
        <w:rPr>
          <w:rFonts w:hint="eastAsia" w:ascii="宋体" w:hAnsi="宋体"/>
          <w:bCs/>
          <w:sz w:val="24"/>
        </w:rPr>
        <w:t>基于新古典理论延伸的数字化与就业</w:t>
      </w:r>
    </w:p>
    <w:p w14:paraId="75A5822F">
      <w:pPr>
        <w:ind w:firstLine="480" w:firstLineChars="200"/>
        <w:rPr>
          <w:rFonts w:hint="eastAsia" w:ascii="宋体" w:hAnsi="宋体"/>
          <w:bCs/>
          <w:sz w:val="24"/>
        </w:rPr>
      </w:pPr>
      <w:r>
        <w:rPr>
          <w:rFonts w:hint="eastAsia" w:ascii="宋体" w:hAnsi="宋体"/>
          <w:bCs/>
          <w:sz w:val="24"/>
        </w:rPr>
        <w:t>替代弹性和数字化下的内生技术进步</w:t>
      </w:r>
    </w:p>
    <w:p w14:paraId="622F5F8C">
      <w:pPr>
        <w:ind w:firstLine="480" w:firstLineChars="200"/>
        <w:rPr>
          <w:rFonts w:hint="eastAsia" w:ascii="宋体" w:hAnsi="宋体"/>
          <w:bCs/>
          <w:sz w:val="24"/>
        </w:rPr>
      </w:pPr>
      <w:r>
        <w:rPr>
          <w:rFonts w:hint="eastAsia" w:ascii="宋体" w:hAnsi="宋体"/>
          <w:bCs/>
          <w:sz w:val="24"/>
        </w:rPr>
        <w:t>人工智能与就业</w:t>
      </w:r>
    </w:p>
    <w:p w14:paraId="49D2A7EB">
      <w:pPr>
        <w:ind w:firstLine="480" w:firstLineChars="200"/>
        <w:rPr>
          <w:rFonts w:hint="eastAsia" w:ascii="宋体" w:hAnsi="宋体"/>
          <w:bCs/>
          <w:sz w:val="24"/>
        </w:rPr>
      </w:pPr>
      <w:r>
        <w:rPr>
          <w:rFonts w:hint="eastAsia" w:ascii="宋体" w:hAnsi="宋体"/>
          <w:bCs/>
          <w:sz w:val="24"/>
        </w:rPr>
        <w:t>数字化时代的劳动者保护和政府政策</w:t>
      </w:r>
    </w:p>
    <w:p w14:paraId="6CFF1FBA">
      <w:pPr>
        <w:rPr>
          <w:rFonts w:hint="eastAsia" w:ascii="宋体" w:hAnsi="宋体"/>
          <w:bCs/>
          <w:sz w:val="24"/>
        </w:rPr>
      </w:pPr>
      <w:r>
        <w:rPr>
          <w:rFonts w:hint="eastAsia" w:ascii="宋体" w:hAnsi="宋体"/>
          <w:bCs/>
          <w:sz w:val="24"/>
        </w:rPr>
        <w:t>十二、数字货币</w:t>
      </w:r>
    </w:p>
    <w:p w14:paraId="2AA3DEA7">
      <w:pPr>
        <w:ind w:firstLine="480" w:firstLineChars="200"/>
        <w:rPr>
          <w:rFonts w:hint="eastAsia" w:ascii="宋体" w:hAnsi="宋体"/>
          <w:bCs/>
          <w:sz w:val="24"/>
        </w:rPr>
      </w:pPr>
      <w:r>
        <w:rPr>
          <w:rFonts w:hint="eastAsia" w:ascii="宋体" w:hAnsi="宋体"/>
          <w:bCs/>
          <w:sz w:val="24"/>
        </w:rPr>
        <w:t>数字货币概述</w:t>
      </w:r>
    </w:p>
    <w:p w14:paraId="0AF2A349">
      <w:pPr>
        <w:ind w:firstLine="480" w:firstLineChars="200"/>
        <w:rPr>
          <w:rFonts w:hint="eastAsia" w:ascii="宋体" w:hAnsi="宋体"/>
          <w:bCs/>
          <w:sz w:val="24"/>
        </w:rPr>
      </w:pPr>
      <w:r>
        <w:rPr>
          <w:rFonts w:hint="eastAsia" w:ascii="宋体" w:hAnsi="宋体"/>
          <w:bCs/>
          <w:sz w:val="24"/>
        </w:rPr>
        <w:t>私人数字货币的定价与监管</w:t>
      </w:r>
    </w:p>
    <w:p w14:paraId="4F98FDB5">
      <w:pPr>
        <w:ind w:firstLine="480" w:firstLineChars="200"/>
        <w:rPr>
          <w:rFonts w:hint="eastAsia" w:ascii="宋体" w:hAnsi="宋体"/>
          <w:bCs/>
          <w:sz w:val="24"/>
        </w:rPr>
      </w:pPr>
      <w:r>
        <w:rPr>
          <w:rFonts w:hint="eastAsia" w:ascii="宋体" w:hAnsi="宋体"/>
          <w:bCs/>
          <w:sz w:val="24"/>
        </w:rPr>
        <w:t>央行数字货币的传导机制</w:t>
      </w:r>
    </w:p>
    <w:p w14:paraId="3A4D592E">
      <w:pPr>
        <w:ind w:firstLine="480" w:firstLineChars="200"/>
        <w:rPr>
          <w:rFonts w:hint="eastAsia" w:ascii="宋体" w:hAnsi="宋体"/>
          <w:bCs/>
          <w:sz w:val="24"/>
        </w:rPr>
      </w:pPr>
      <w:r>
        <w:rPr>
          <w:rFonts w:hint="eastAsia" w:ascii="宋体" w:hAnsi="宋体"/>
          <w:bCs/>
          <w:sz w:val="24"/>
        </w:rPr>
        <w:t>央行数字货币对宏观经济的影响</w:t>
      </w:r>
    </w:p>
    <w:p w14:paraId="713DAC99">
      <w:pPr>
        <w:rPr>
          <w:rFonts w:hint="eastAsia" w:ascii="宋体" w:hAnsi="宋体"/>
          <w:bCs/>
          <w:sz w:val="24"/>
        </w:rPr>
      </w:pPr>
      <w:r>
        <w:rPr>
          <w:rFonts w:hint="eastAsia" w:ascii="宋体" w:hAnsi="宋体"/>
          <w:bCs/>
          <w:sz w:val="24"/>
        </w:rPr>
        <w:t>十三、数据隐私的博弈</w:t>
      </w:r>
    </w:p>
    <w:p w14:paraId="0E26D11D">
      <w:pPr>
        <w:ind w:firstLine="480" w:firstLineChars="200"/>
        <w:rPr>
          <w:rFonts w:hint="eastAsia" w:ascii="宋体" w:hAnsi="宋体"/>
          <w:bCs/>
          <w:sz w:val="24"/>
        </w:rPr>
      </w:pPr>
      <w:r>
        <w:rPr>
          <w:rFonts w:hint="eastAsia" w:ascii="宋体" w:hAnsi="宋体"/>
          <w:bCs/>
          <w:sz w:val="24"/>
        </w:rPr>
        <w:t>隐私的经济学观点</w:t>
      </w:r>
    </w:p>
    <w:p w14:paraId="3FD6BA40">
      <w:pPr>
        <w:ind w:firstLine="480" w:firstLineChars="200"/>
        <w:rPr>
          <w:rFonts w:hint="eastAsia" w:ascii="宋体" w:hAnsi="宋体"/>
          <w:bCs/>
          <w:sz w:val="24"/>
        </w:rPr>
      </w:pPr>
      <w:r>
        <w:rPr>
          <w:rFonts w:hint="eastAsia" w:ascii="宋体" w:hAnsi="宋体"/>
          <w:bCs/>
          <w:sz w:val="24"/>
        </w:rPr>
        <w:t>基于消费者隐私信息的市场博弈</w:t>
      </w:r>
    </w:p>
    <w:p w14:paraId="385A01F7">
      <w:pPr>
        <w:ind w:firstLine="480" w:firstLineChars="200"/>
        <w:rPr>
          <w:rFonts w:hint="eastAsia" w:ascii="宋体" w:hAnsi="宋体"/>
          <w:bCs/>
          <w:sz w:val="24"/>
        </w:rPr>
      </w:pPr>
      <w:r>
        <w:rPr>
          <w:rFonts w:hint="eastAsia" w:ascii="宋体" w:hAnsi="宋体"/>
          <w:bCs/>
          <w:sz w:val="24"/>
        </w:rPr>
        <w:t>均衡策略与隐私信息披露的福利</w:t>
      </w:r>
    </w:p>
    <w:p w14:paraId="2716EAEB">
      <w:pPr>
        <w:ind w:firstLine="480" w:firstLineChars="200"/>
        <w:rPr>
          <w:rFonts w:hint="eastAsia" w:ascii="宋体" w:hAnsi="宋体"/>
          <w:bCs/>
          <w:sz w:val="24"/>
        </w:rPr>
      </w:pPr>
      <w:r>
        <w:rPr>
          <w:rFonts w:hint="eastAsia" w:ascii="宋体" w:hAnsi="宋体"/>
          <w:bCs/>
          <w:sz w:val="24"/>
        </w:rPr>
        <w:t>隐私信息监管与产权治理</w:t>
      </w:r>
    </w:p>
    <w:p w14:paraId="3502CA60">
      <w:pPr>
        <w:rPr>
          <w:rFonts w:hint="eastAsia" w:ascii="宋体" w:hAnsi="宋体"/>
          <w:bCs/>
          <w:sz w:val="24"/>
        </w:rPr>
      </w:pPr>
      <w:r>
        <w:rPr>
          <w:rFonts w:hint="eastAsia" w:ascii="宋体" w:hAnsi="宋体"/>
          <w:bCs/>
          <w:sz w:val="24"/>
        </w:rPr>
        <w:t>十四、数据资产定价</w:t>
      </w:r>
    </w:p>
    <w:p w14:paraId="420DAF17">
      <w:pPr>
        <w:ind w:firstLine="480" w:firstLineChars="200"/>
        <w:rPr>
          <w:rFonts w:hint="eastAsia" w:ascii="宋体" w:hAnsi="宋体"/>
          <w:bCs/>
          <w:sz w:val="24"/>
        </w:rPr>
      </w:pPr>
      <w:r>
        <w:rPr>
          <w:rFonts w:hint="eastAsia" w:ascii="宋体" w:hAnsi="宋体"/>
          <w:bCs/>
          <w:sz w:val="24"/>
        </w:rPr>
        <w:t>数据资产的界定和交易</w:t>
      </w:r>
    </w:p>
    <w:p w14:paraId="31942E80">
      <w:pPr>
        <w:ind w:firstLine="480" w:firstLineChars="200"/>
        <w:rPr>
          <w:rFonts w:hint="eastAsia" w:ascii="宋体" w:hAnsi="宋体"/>
          <w:bCs/>
          <w:sz w:val="24"/>
        </w:rPr>
      </w:pPr>
      <w:r>
        <w:rPr>
          <w:rFonts w:hint="eastAsia" w:ascii="宋体" w:hAnsi="宋体"/>
          <w:bCs/>
          <w:sz w:val="24"/>
        </w:rPr>
        <w:t>数据价值链</w:t>
      </w:r>
    </w:p>
    <w:p w14:paraId="22256108">
      <w:pPr>
        <w:ind w:firstLine="480" w:firstLineChars="200"/>
        <w:rPr>
          <w:rFonts w:hint="eastAsia" w:ascii="宋体" w:hAnsi="宋体"/>
          <w:bCs/>
          <w:sz w:val="24"/>
        </w:rPr>
      </w:pPr>
      <w:r>
        <w:rPr>
          <w:rFonts w:hint="eastAsia" w:ascii="宋体" w:hAnsi="宋体"/>
          <w:bCs/>
          <w:sz w:val="24"/>
        </w:rPr>
        <w:t>数据资产定价</w:t>
      </w:r>
    </w:p>
    <w:p w14:paraId="48F5728B">
      <w:pPr>
        <w:rPr>
          <w:rFonts w:hint="eastAsia" w:ascii="宋体" w:hAnsi="宋体"/>
          <w:bCs/>
          <w:sz w:val="24"/>
        </w:rPr>
      </w:pPr>
      <w:r>
        <w:rPr>
          <w:rFonts w:hint="eastAsia" w:ascii="宋体" w:hAnsi="宋体"/>
          <w:bCs/>
          <w:sz w:val="24"/>
        </w:rPr>
        <w:t>十五、数据治理</w:t>
      </w:r>
    </w:p>
    <w:p w14:paraId="266CCCD4">
      <w:pPr>
        <w:ind w:firstLine="480" w:firstLineChars="200"/>
        <w:rPr>
          <w:rFonts w:hint="eastAsia" w:ascii="宋体" w:hAnsi="宋体"/>
          <w:bCs/>
          <w:sz w:val="24"/>
        </w:rPr>
      </w:pPr>
      <w:r>
        <w:rPr>
          <w:rFonts w:hint="eastAsia" w:ascii="宋体" w:hAnsi="宋体"/>
          <w:bCs/>
          <w:sz w:val="24"/>
        </w:rPr>
        <w:t>数据治理的基本内涵</w:t>
      </w:r>
    </w:p>
    <w:p w14:paraId="43A4A20C">
      <w:pPr>
        <w:ind w:firstLine="480" w:firstLineChars="200"/>
        <w:rPr>
          <w:rFonts w:hint="eastAsia" w:ascii="宋体" w:hAnsi="宋体"/>
          <w:bCs/>
          <w:sz w:val="24"/>
        </w:rPr>
      </w:pPr>
      <w:r>
        <w:rPr>
          <w:rFonts w:hint="eastAsia" w:ascii="宋体" w:hAnsi="宋体"/>
          <w:bCs/>
          <w:sz w:val="24"/>
        </w:rPr>
        <w:t>数据开放共享与数据产权</w:t>
      </w:r>
    </w:p>
    <w:p w14:paraId="176A5BB4">
      <w:pPr>
        <w:ind w:firstLine="480" w:firstLineChars="200"/>
        <w:rPr>
          <w:rFonts w:hint="eastAsia" w:ascii="宋体" w:hAnsi="宋体"/>
          <w:bCs/>
          <w:sz w:val="24"/>
        </w:rPr>
      </w:pPr>
      <w:r>
        <w:rPr>
          <w:rFonts w:hint="eastAsia" w:ascii="宋体" w:hAnsi="宋体"/>
          <w:bCs/>
          <w:sz w:val="24"/>
        </w:rPr>
        <w:t>数据跨境流动</w:t>
      </w:r>
    </w:p>
    <w:p w14:paraId="343075A6">
      <w:pPr>
        <w:ind w:firstLine="480" w:firstLineChars="200"/>
        <w:rPr>
          <w:rFonts w:hint="eastAsia" w:ascii="宋体" w:hAnsi="宋体"/>
          <w:bCs/>
          <w:sz w:val="24"/>
        </w:rPr>
      </w:pPr>
      <w:r>
        <w:rPr>
          <w:rFonts w:hint="eastAsia" w:ascii="宋体" w:hAnsi="宋体"/>
          <w:bCs/>
          <w:sz w:val="24"/>
        </w:rPr>
        <w:t>数据治理的立法与监管实践</w:t>
      </w:r>
    </w:p>
    <w:p w14:paraId="173369EF">
      <w:pPr>
        <w:rPr>
          <w:rFonts w:hint="eastAsia" w:ascii="宋体" w:hAnsi="宋体"/>
          <w:bCs/>
          <w:sz w:val="24"/>
        </w:rPr>
      </w:pPr>
      <w:r>
        <w:rPr>
          <w:rFonts w:hint="eastAsia" w:ascii="宋体" w:hAnsi="宋体"/>
          <w:bCs/>
          <w:sz w:val="24"/>
        </w:rPr>
        <w:t>十六、数字税</w:t>
      </w:r>
    </w:p>
    <w:p w14:paraId="2896E277">
      <w:pPr>
        <w:ind w:firstLine="480" w:firstLineChars="200"/>
        <w:rPr>
          <w:rFonts w:hint="eastAsia" w:ascii="宋体" w:hAnsi="宋体"/>
          <w:bCs/>
          <w:sz w:val="24"/>
        </w:rPr>
      </w:pPr>
      <w:r>
        <w:rPr>
          <w:rFonts w:hint="eastAsia" w:ascii="宋体" w:hAnsi="宋体"/>
          <w:bCs/>
          <w:sz w:val="24"/>
        </w:rPr>
        <w:t xml:space="preserve">数字税的基本内涵 </w:t>
      </w:r>
    </w:p>
    <w:p w14:paraId="10F2F423">
      <w:pPr>
        <w:ind w:firstLine="480" w:firstLineChars="200"/>
        <w:rPr>
          <w:rFonts w:hint="eastAsia" w:ascii="宋体" w:hAnsi="宋体"/>
          <w:bCs/>
          <w:sz w:val="24"/>
        </w:rPr>
      </w:pPr>
      <w:r>
        <w:rPr>
          <w:rFonts w:hint="eastAsia" w:ascii="宋体" w:hAnsi="宋体"/>
          <w:bCs/>
          <w:sz w:val="24"/>
        </w:rPr>
        <w:t>征收数字税的必要性</w:t>
      </w:r>
    </w:p>
    <w:p w14:paraId="404F3400">
      <w:pPr>
        <w:ind w:firstLine="480" w:firstLineChars="200"/>
        <w:rPr>
          <w:rFonts w:hint="eastAsia" w:ascii="宋体" w:hAnsi="宋体"/>
          <w:bCs/>
          <w:sz w:val="24"/>
        </w:rPr>
      </w:pPr>
      <w:r>
        <w:rPr>
          <w:rFonts w:hint="eastAsia" w:ascii="宋体" w:hAnsi="宋体"/>
          <w:bCs/>
          <w:sz w:val="24"/>
        </w:rPr>
        <w:t>欧盟的数字税实践</w:t>
      </w:r>
    </w:p>
    <w:p w14:paraId="2D172226">
      <w:pPr>
        <w:ind w:firstLine="480" w:firstLineChars="200"/>
        <w:rPr>
          <w:rFonts w:hint="eastAsia" w:ascii="宋体" w:hAnsi="宋体"/>
          <w:bCs/>
          <w:sz w:val="24"/>
        </w:rPr>
      </w:pPr>
      <w:r>
        <w:rPr>
          <w:rFonts w:hint="eastAsia" w:ascii="宋体" w:hAnsi="宋体"/>
          <w:bCs/>
          <w:sz w:val="24"/>
        </w:rPr>
        <w:t>OECD的“双支柱模型”</w:t>
      </w:r>
    </w:p>
    <w:p w14:paraId="2BFFEE77">
      <w:pPr>
        <w:ind w:firstLine="480" w:firstLineChars="200"/>
        <w:rPr>
          <w:rFonts w:hint="eastAsia" w:ascii="宋体" w:hAnsi="宋体"/>
          <w:bCs/>
          <w:sz w:val="24"/>
        </w:rPr>
      </w:pPr>
      <w:r>
        <w:rPr>
          <w:rFonts w:hint="eastAsia" w:ascii="宋体" w:hAnsi="宋体"/>
          <w:bCs/>
          <w:sz w:val="24"/>
        </w:rPr>
        <w:t>数字税的反对者</w:t>
      </w:r>
    </w:p>
    <w:p w14:paraId="25AB90AB">
      <w:pPr>
        <w:ind w:firstLine="480" w:firstLineChars="200"/>
        <w:rPr>
          <w:rFonts w:hint="eastAsia" w:ascii="宋体" w:hAnsi="宋体"/>
          <w:bCs/>
          <w:sz w:val="24"/>
        </w:rPr>
      </w:pPr>
      <w:r>
        <w:rPr>
          <w:rFonts w:hint="eastAsia" w:ascii="宋体" w:hAnsi="宋体"/>
          <w:bCs/>
          <w:sz w:val="24"/>
        </w:rPr>
        <w:t>数字税的异化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ZDA3MTQ3OGY1NGEwNWNmYzY4MTYzMGJiNjQzYjUifQ=="/>
  </w:docVars>
  <w:rsids>
    <w:rsidRoot w:val="00000A1A"/>
    <w:rsid w:val="00000A1A"/>
    <w:rsid w:val="00007563"/>
    <w:rsid w:val="00340DD4"/>
    <w:rsid w:val="0034781E"/>
    <w:rsid w:val="003D7A43"/>
    <w:rsid w:val="00486364"/>
    <w:rsid w:val="00502E50"/>
    <w:rsid w:val="005976AD"/>
    <w:rsid w:val="006A3EA7"/>
    <w:rsid w:val="0072115B"/>
    <w:rsid w:val="00727721"/>
    <w:rsid w:val="007E741C"/>
    <w:rsid w:val="008748E4"/>
    <w:rsid w:val="00921744"/>
    <w:rsid w:val="009314AD"/>
    <w:rsid w:val="00C63445"/>
    <w:rsid w:val="00C67CC0"/>
    <w:rsid w:val="00E86E9A"/>
    <w:rsid w:val="06BF699F"/>
    <w:rsid w:val="07FC3326"/>
    <w:rsid w:val="12DB7669"/>
    <w:rsid w:val="1D3C1E75"/>
    <w:rsid w:val="1D941090"/>
    <w:rsid w:val="1E6808E8"/>
    <w:rsid w:val="25184226"/>
    <w:rsid w:val="260A783C"/>
    <w:rsid w:val="37A1654A"/>
    <w:rsid w:val="40772738"/>
    <w:rsid w:val="45647867"/>
    <w:rsid w:val="45EF3DEE"/>
    <w:rsid w:val="46F550FC"/>
    <w:rsid w:val="47F44E19"/>
    <w:rsid w:val="480549E3"/>
    <w:rsid w:val="4A3F67C0"/>
    <w:rsid w:val="4CF658D9"/>
    <w:rsid w:val="5D746389"/>
    <w:rsid w:val="62A27C9E"/>
    <w:rsid w:val="67EB77DA"/>
    <w:rsid w:val="6B76151E"/>
    <w:rsid w:val="6B950A11"/>
    <w:rsid w:val="6D760E80"/>
    <w:rsid w:val="6DA700B4"/>
    <w:rsid w:val="6E0B1760"/>
    <w:rsid w:val="706E49B4"/>
    <w:rsid w:val="7B9B0B2D"/>
    <w:rsid w:val="7DA81F37"/>
    <w:rsid w:val="7F2C3F46"/>
    <w:rsid w:val="7FEB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Strong"/>
    <w:basedOn w:val="6"/>
    <w:qFormat/>
    <w:uiPriority w:val="22"/>
    <w:rPr>
      <w:b/>
    </w:rPr>
  </w:style>
  <w:style w:type="paragraph" w:customStyle="1" w:styleId="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0">
    <w:name w:val="页眉 字符"/>
    <w:basedOn w:val="6"/>
    <w:link w:val="3"/>
    <w:qFormat/>
    <w:uiPriority w:val="99"/>
    <w:rPr>
      <w:rFonts w:ascii="Times New Roman" w:hAnsi="Times New Roman" w:eastAsia="宋体" w:cs="Times New Roman"/>
      <w:kern w:val="2"/>
      <w:sz w:val="18"/>
      <w:szCs w:val="18"/>
    </w:rPr>
  </w:style>
  <w:style w:type="character" w:customStyle="1" w:styleId="11">
    <w:name w:val="页脚 字符"/>
    <w:basedOn w:val="6"/>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6</Pages>
  <Words>3204</Words>
  <Characters>3261</Characters>
  <Lines>30</Lines>
  <Paragraphs>8</Paragraphs>
  <TotalTime>0</TotalTime>
  <ScaleCrop>false</ScaleCrop>
  <LinksUpToDate>false</LinksUpToDate>
  <CharactersWithSpaces>3943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2025-07-29T02:47:00Z</dcterms:created>
  <dc:creator>Sky</dc:creator>
  <cp:lastModifiedBy>9288用户</cp:lastModifiedBy>
  <dcterms:modified xsi:type="dcterms:W3CDTF">2025-09-28T01:15:31Z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413EEBDA12034B0C9C77E89BCB5F188D_13</vt:lpwstr>
  </property>
  <property fmtid="{D5CDD505-2E9C-101B-9397-08002B2CF9AE}" pid="4" name="KSOTemplateDocerSaveRecord">
    <vt:lpwstr>eyJoZGlkIjoiZTgzMmZjOGY1ZTMxNWRhMDBlNmJkYjQ0ZWZmZDdhMDMiLCJ1c2VySWQiOiIyNzI0NTA2MzMifQ==</vt:lpwstr>
  </property>
</Properties>
</file>