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6D84">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val="0"/>
          <w:color w:val="auto"/>
          <w:kern w:val="0"/>
          <w:sz w:val="40"/>
          <w:szCs w:val="40"/>
        </w:rPr>
      </w:pPr>
      <w:bookmarkStart w:id="0" w:name="_GoBack"/>
      <w:bookmarkEnd w:id="0"/>
      <w:r>
        <w:rPr>
          <w:rFonts w:hint="eastAsia" w:ascii="黑体" w:hAnsi="黑体" w:eastAsia="黑体" w:cs="黑体"/>
          <w:b/>
          <w:bCs w:val="0"/>
          <w:color w:val="auto"/>
          <w:kern w:val="0"/>
          <w:sz w:val="40"/>
          <w:szCs w:val="40"/>
        </w:rPr>
        <w:t>金融</w:t>
      </w:r>
      <w:r>
        <w:rPr>
          <w:rFonts w:hint="eastAsia" w:ascii="黑体" w:hAnsi="黑体" w:eastAsia="黑体" w:cs="黑体"/>
          <w:b/>
          <w:bCs w:val="0"/>
          <w:color w:val="auto"/>
          <w:kern w:val="0"/>
          <w:sz w:val="40"/>
          <w:szCs w:val="40"/>
          <w:lang w:val="en-US" w:eastAsia="zh-CN"/>
        </w:rPr>
        <w:t xml:space="preserve"> </w:t>
      </w:r>
      <w:r>
        <w:rPr>
          <w:rFonts w:hint="eastAsia" w:ascii="黑体" w:hAnsi="黑体" w:eastAsia="黑体" w:cs="黑体"/>
          <w:b/>
          <w:bCs w:val="0"/>
          <w:color w:val="auto"/>
          <w:kern w:val="0"/>
          <w:sz w:val="40"/>
          <w:szCs w:val="40"/>
        </w:rPr>
        <w:t xml:space="preserve">025100  </w:t>
      </w:r>
    </w:p>
    <w:p w14:paraId="53368305">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cs="宋体"/>
          <w:b/>
          <w:sz w:val="24"/>
        </w:rPr>
      </w:pPr>
    </w:p>
    <w:p w14:paraId="288D7038">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color w:val="auto"/>
          <w:sz w:val="24"/>
          <w:szCs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w:t>
      </w:r>
      <w:r>
        <w:rPr>
          <w:rFonts w:hint="eastAsia" w:ascii="宋体" w:hAnsi="宋体" w:cs="宋体"/>
          <w:bCs/>
          <w:sz w:val="24"/>
          <w:lang w:eastAsia="zh-CN"/>
        </w:rPr>
        <w:t>，</w:t>
      </w:r>
      <w:r>
        <w:rPr>
          <w:rFonts w:hint="eastAsia" w:ascii="宋体" w:hAnsi="宋体" w:cs="宋体"/>
          <w:bCs/>
          <w:sz w:val="24"/>
        </w:rPr>
        <w:t>金融工程广东省一流专业建设点</w:t>
      </w:r>
      <w:r>
        <w:rPr>
          <w:rFonts w:hint="eastAsia" w:ascii="宋体" w:hAnsi="宋体" w:cs="宋体"/>
          <w:bCs/>
          <w:sz w:val="24"/>
          <w:lang w:val="en-US" w:eastAsia="zh-CN"/>
        </w:rPr>
        <w:t>和金融科技专业</w:t>
      </w:r>
      <w:r>
        <w:rPr>
          <w:rFonts w:hint="eastAsia" w:ascii="宋体" w:hAnsi="宋体" w:cs="宋体"/>
          <w:bCs/>
          <w:sz w:val="24"/>
        </w:rPr>
        <w:t>，所属一级学科应用经济学为省级优势重点学科。2003年获得金融学硕士学位授予权，201</w:t>
      </w:r>
      <w:r>
        <w:rPr>
          <w:rFonts w:hint="eastAsia" w:ascii="宋体" w:hAnsi="宋体" w:cs="宋体"/>
          <w:bCs/>
          <w:sz w:val="24"/>
          <w:lang w:val="en-US" w:eastAsia="zh-CN"/>
        </w:rPr>
        <w:t>0</w:t>
      </w:r>
      <w:r>
        <w:rPr>
          <w:rFonts w:hint="eastAsia" w:ascii="宋体" w:hAnsi="宋体" w:cs="宋体"/>
          <w:bCs/>
          <w:sz w:val="24"/>
        </w:rPr>
        <w:t>年获得全国首批金融硕士学位授予权，2021年金融学所属一级学科获批为应用经济学博士学位授权点。</w:t>
      </w:r>
      <w:r>
        <w:rPr>
          <w:rFonts w:hint="eastAsia" w:ascii="宋体" w:hAnsi="宋体" w:cs="宋体"/>
          <w:color w:val="auto"/>
          <w:sz w:val="24"/>
          <w:szCs w:val="24"/>
        </w:rPr>
        <w:t>现有专任教师7</w:t>
      </w:r>
      <w:r>
        <w:rPr>
          <w:rFonts w:hint="eastAsia" w:ascii="宋体" w:hAnsi="宋体" w:cs="宋体"/>
          <w:color w:val="auto"/>
          <w:sz w:val="24"/>
          <w:szCs w:val="24"/>
          <w:lang w:val="en-US" w:eastAsia="zh-CN"/>
        </w:rPr>
        <w:t>8</w:t>
      </w:r>
      <w:r>
        <w:rPr>
          <w:rFonts w:hint="eastAsia" w:ascii="宋体" w:hAnsi="宋体" w:cs="宋体"/>
          <w:color w:val="auto"/>
          <w:sz w:val="24"/>
          <w:szCs w:val="24"/>
        </w:rPr>
        <w:t>人，</w:t>
      </w:r>
      <w:r>
        <w:rPr>
          <w:rFonts w:hint="eastAsia" w:ascii="宋体" w:hAnsi="宋体" w:cs="宋体"/>
          <w:color w:val="auto"/>
          <w:sz w:val="24"/>
          <w:szCs w:val="24"/>
          <w:lang w:val="en-US" w:eastAsia="zh-CN"/>
        </w:rPr>
        <w:t>97</w:t>
      </w:r>
      <w:r>
        <w:rPr>
          <w:rFonts w:hint="eastAsia" w:ascii="宋体" w:hAnsi="宋体" w:cs="宋体"/>
          <w:color w:val="auto"/>
          <w:sz w:val="24"/>
          <w:szCs w:val="24"/>
        </w:rPr>
        <w:t>%以上的教师具有博士学位，40%以上教师具备海外经历。其中教授</w:t>
      </w:r>
      <w:r>
        <w:rPr>
          <w:rFonts w:hint="eastAsia" w:ascii="宋体" w:hAnsi="宋体" w:cs="宋体"/>
          <w:color w:val="auto"/>
          <w:sz w:val="24"/>
          <w:szCs w:val="24"/>
          <w:lang w:val="en-US" w:eastAsia="zh-CN"/>
        </w:rPr>
        <w:t>16</w:t>
      </w:r>
      <w:r>
        <w:rPr>
          <w:rFonts w:hint="eastAsia" w:ascii="宋体" w:hAnsi="宋体" w:cs="宋体"/>
          <w:color w:val="auto"/>
          <w:sz w:val="24"/>
          <w:szCs w:val="24"/>
        </w:rPr>
        <w:t>人，副教授2</w:t>
      </w:r>
      <w:r>
        <w:rPr>
          <w:rFonts w:hint="eastAsia" w:ascii="宋体" w:hAnsi="宋体" w:cs="宋体"/>
          <w:color w:val="auto"/>
          <w:sz w:val="24"/>
          <w:szCs w:val="24"/>
          <w:lang w:val="en-US" w:eastAsia="zh-CN"/>
        </w:rPr>
        <w:t>3</w:t>
      </w:r>
      <w:r>
        <w:rPr>
          <w:rFonts w:hint="eastAsia" w:ascii="宋体" w:hAnsi="宋体" w:cs="宋体"/>
          <w:color w:val="auto"/>
          <w:sz w:val="24"/>
          <w:szCs w:val="24"/>
        </w:rPr>
        <w:t>人，博士生、硕士生导师48人，校外导师</w:t>
      </w:r>
      <w:r>
        <w:rPr>
          <w:rFonts w:hint="eastAsia" w:ascii="宋体" w:hAnsi="宋体" w:cs="宋体"/>
          <w:color w:val="auto"/>
          <w:sz w:val="24"/>
          <w:szCs w:val="24"/>
          <w:lang w:val="en-US" w:eastAsia="zh-CN"/>
        </w:rPr>
        <w:t>91</w:t>
      </w:r>
      <w:r>
        <w:rPr>
          <w:rFonts w:hint="eastAsia" w:ascii="宋体" w:hAnsi="宋体" w:cs="宋体"/>
          <w:color w:val="auto"/>
          <w:sz w:val="24"/>
          <w:szCs w:val="24"/>
        </w:rPr>
        <w:t>人，教育部新世纪优秀人才、教育部金融教指委委员、珠江学者、南粤优秀教师、广州市高层次金融人才等各类高层次人才10余人次。</w:t>
      </w:r>
      <w:r>
        <w:rPr>
          <w:rFonts w:hint="eastAsia" w:ascii="宋体" w:hAnsi="宋体" w:eastAsia="宋体" w:cs="宋体"/>
          <w:i w:val="0"/>
          <w:iCs w:val="0"/>
          <w:caps w:val="0"/>
          <w:color w:val="333333"/>
          <w:spacing w:val="0"/>
          <w:sz w:val="24"/>
          <w:szCs w:val="24"/>
          <w:shd w:val="clear" w:color="auto" w:fill="FFFFFF"/>
        </w:rPr>
        <w:t>拥有“产业金融”“地方金融风险监测防控”等多个省级科研创新团队。近5年，学院教师承担国家自然科学基金项目、国家社会科学基金项目16项，其中重点项目2项，教育部人文社科基金项目7项，广东省自然科学基金项目8项，广东省软科学研究项目1项，广东省哲学社会科学规划项目16项，其中重大项目2项，横向合作项目17项。在《经济研究》《管理世界》《经济学（季刊）》《管理科学学报》《金融研究》以及JASA、JOE、JEBO、JEDC、JCF等国内全权威期刊发表论文两百余篇，出版教材和著作19部，获得广东省哲学社会科学优秀成果奖3项。</w:t>
      </w:r>
      <w:r>
        <w:rPr>
          <w:rFonts w:hint="eastAsia" w:ascii="宋体" w:hAnsi="宋体" w:cs="宋体"/>
          <w:color w:val="auto"/>
          <w:sz w:val="24"/>
          <w:szCs w:val="24"/>
        </w:rPr>
        <w:t>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14:paraId="68B9B87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Cs/>
          <w:sz w:val="24"/>
        </w:rPr>
      </w:pPr>
    </w:p>
    <w:p w14:paraId="7B88D220">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cs="宋体"/>
          <w:sz w:val="24"/>
        </w:rPr>
      </w:pPr>
      <w:r>
        <w:rPr>
          <w:rFonts w:hint="eastAsia" w:ascii="宋体" w:hAnsi="宋体" w:cs="宋体"/>
          <w:b/>
          <w:sz w:val="24"/>
        </w:rPr>
        <w:t>培养目标：</w:t>
      </w:r>
      <w:r>
        <w:rPr>
          <w:rFonts w:hint="default" w:ascii="Times New Roman" w:hAnsi="Times New Roman" w:eastAsia="宋体" w:cs="Times New Roman"/>
          <w:sz w:val="24"/>
          <w:szCs w:val="24"/>
        </w:rPr>
        <w:t>坚持立德树人，面向粤港澳大湾区建设国家战略需求，顺应金融数字化、人工智能和区块链技术发展趋势，依托商法融合和实践创新的办学特色，着力打造技教融合、科教融合、产教融合特色优势，培养具有社会主义核心价值观，德智体美劳全面发展，系统掌握金融学及相关学科基本理论、基本知识和基本技能，擅长金融量化分析、资本运作和运营管理，具有管理风险和创新服务意识、国际交流与业务开展能力的高层次应用型金融专业人才。</w:t>
      </w:r>
    </w:p>
    <w:p w14:paraId="5C49E180">
      <w:pPr>
        <w:keepNext w:val="0"/>
        <w:keepLines w:val="0"/>
        <w:pageBreakBefore w:val="0"/>
        <w:widowControl/>
        <w:kinsoku/>
        <w:wordWrap/>
        <w:overflowPunct/>
        <w:topLinePunct w:val="0"/>
        <w:autoSpaceDE/>
        <w:autoSpaceDN/>
        <w:bidi w:val="0"/>
        <w:spacing w:line="500" w:lineRule="exact"/>
        <w:ind w:firstLine="482" w:firstLineChars="200"/>
        <w:jc w:val="left"/>
        <w:textAlignment w:val="auto"/>
        <w:rPr>
          <w:rFonts w:hint="eastAsia" w:ascii="宋体" w:hAnsi="宋体" w:cs="宋体"/>
          <w:b w:val="0"/>
          <w:bCs/>
          <w:sz w:val="24"/>
        </w:rPr>
      </w:pPr>
      <w:r>
        <w:rPr>
          <w:rFonts w:hint="eastAsia" w:ascii="宋体" w:hAnsi="宋体" w:cs="宋体"/>
          <w:b/>
          <w:sz w:val="24"/>
        </w:rPr>
        <w:t>主要课程：</w:t>
      </w:r>
      <w:r>
        <w:rPr>
          <w:rFonts w:hint="eastAsia" w:ascii="宋体" w:hAnsi="宋体" w:cs="宋体"/>
          <w:b w:val="0"/>
          <w:bCs/>
          <w:sz w:val="24"/>
        </w:rPr>
        <w:t>《金融理论与政策》、《投资学》、《公司金融》、《衍生金融工具》、《财务报表分析》、《商业银行经营与管理》、《投资银行理论与实务》、《</w:t>
      </w:r>
      <w:r>
        <w:rPr>
          <w:rFonts w:hint="default" w:ascii="宋体" w:hAnsi="宋体" w:eastAsia="宋体" w:cs="宋体"/>
          <w:b w:val="0"/>
          <w:bCs/>
          <w:color w:val="000000"/>
          <w:kern w:val="2"/>
          <w:sz w:val="24"/>
        </w:rPr>
        <w:t>量化投资与交易策略</w:t>
      </w:r>
      <w:r>
        <w:rPr>
          <w:rFonts w:hint="eastAsia" w:ascii="宋体" w:hAnsi="宋体" w:cs="宋体"/>
          <w:b w:val="0"/>
          <w:bCs/>
          <w:sz w:val="24"/>
        </w:rPr>
        <w:t>》</w:t>
      </w:r>
      <w:r>
        <w:rPr>
          <w:rFonts w:hint="eastAsia" w:ascii="宋体" w:hAnsi="宋体" w:cs="宋体"/>
          <w:b w:val="0"/>
          <w:bCs/>
          <w:sz w:val="24"/>
          <w:lang w:eastAsia="zh-CN"/>
        </w:rPr>
        <w:t>、</w:t>
      </w:r>
      <w:r>
        <w:rPr>
          <w:rFonts w:hint="eastAsia" w:ascii="宋体" w:hAnsi="宋体" w:cs="宋体"/>
          <w:b w:val="0"/>
          <w:bCs/>
          <w:sz w:val="24"/>
        </w:rPr>
        <w:t>《财富管理》等。</w:t>
      </w:r>
    </w:p>
    <w:p w14:paraId="0AFD2272">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等金融机构及其他相关行政、企事业单位，还可进一步报考相关学科门类的博士研究生。学校将择优资助符合条件且雅思单科6.0分，总分6.5分以上的研究生赴国外进行双硕士学位项目联合培养。</w:t>
      </w:r>
    </w:p>
    <w:p w14:paraId="1F6BCB21">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Cs/>
          <w:sz w:val="24"/>
        </w:rPr>
      </w:pPr>
    </w:p>
    <w:p w14:paraId="6F313B3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bCs/>
          <w:color w:val="auto"/>
          <w:sz w:val="24"/>
        </w:rPr>
      </w:pPr>
    </w:p>
    <w:p w14:paraId="6D7D187D">
      <w:pPr>
        <w:keepNext w:val="0"/>
        <w:keepLines w:val="0"/>
        <w:pageBreakBefore w:val="0"/>
        <w:widowControl/>
        <w:kinsoku/>
        <w:wordWrap/>
        <w:overflowPunct/>
        <w:topLinePunct w:val="0"/>
        <w:autoSpaceDE/>
        <w:autoSpaceDN/>
        <w:bidi w:val="0"/>
        <w:snapToGrid w:val="0"/>
        <w:spacing w:line="500" w:lineRule="exact"/>
        <w:textAlignment w:val="auto"/>
        <w:rPr>
          <w:rFonts w:hint="eastAsia" w:ascii="宋体" w:hAnsi="宋体" w:cs="宋体"/>
          <w:b/>
          <w:color w:val="auto"/>
          <w:sz w:val="24"/>
        </w:rPr>
      </w:pPr>
      <w:r>
        <w:rPr>
          <w:rFonts w:hint="eastAsia" w:ascii="宋体" w:hAnsi="宋体" w:cs="宋体"/>
          <w:b/>
          <w:color w:val="auto"/>
          <w:sz w:val="24"/>
        </w:rPr>
        <w:t>专业代码：025100                             咨询电话：020-84096982</w:t>
      </w:r>
    </w:p>
    <w:tbl>
      <w:tblPr>
        <w:tblStyle w:val="7"/>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58"/>
        <w:gridCol w:w="3370"/>
        <w:gridCol w:w="2665"/>
      </w:tblGrid>
      <w:tr w14:paraId="3F32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6" w:type="pct"/>
            <w:tcBorders>
              <w:top w:val="single" w:color="auto" w:sz="4" w:space="0"/>
              <w:left w:val="single" w:color="auto" w:sz="4" w:space="0"/>
              <w:bottom w:val="single" w:color="auto" w:sz="4" w:space="0"/>
              <w:right w:val="single" w:color="auto" w:sz="4" w:space="0"/>
            </w:tcBorders>
            <w:vAlign w:val="center"/>
          </w:tcPr>
          <w:p w14:paraId="3D23C892">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14:paraId="3B412549">
            <w:pPr>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b/>
                <w:color w:val="auto"/>
                <w:sz w:val="24"/>
                <w:lang w:val="en-US" w:eastAsia="zh-CN"/>
              </w:rPr>
            </w:pPr>
            <w:r>
              <w:rPr>
                <w:rFonts w:hint="eastAsia" w:ascii="宋体" w:hAnsi="宋体" w:cs="宋体"/>
                <w:b/>
                <w:sz w:val="24"/>
              </w:rPr>
              <w:t>研究方向</w:t>
            </w:r>
          </w:p>
        </w:tc>
        <w:tc>
          <w:tcPr>
            <w:tcW w:w="1893" w:type="pct"/>
            <w:tcBorders>
              <w:top w:val="single" w:color="auto" w:sz="4" w:space="0"/>
              <w:left w:val="single" w:color="auto" w:sz="4" w:space="0"/>
              <w:bottom w:val="single" w:color="auto" w:sz="4" w:space="0"/>
              <w:right w:val="single" w:color="auto" w:sz="4" w:space="0"/>
            </w:tcBorders>
            <w:vAlign w:val="center"/>
          </w:tcPr>
          <w:p w14:paraId="30ACB5B2">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初试科目</w:t>
            </w:r>
          </w:p>
        </w:tc>
        <w:tc>
          <w:tcPr>
            <w:tcW w:w="1497" w:type="pct"/>
            <w:tcBorders>
              <w:top w:val="single" w:color="auto" w:sz="4" w:space="0"/>
              <w:left w:val="single" w:color="auto" w:sz="4" w:space="0"/>
              <w:bottom w:val="single" w:color="auto" w:sz="4" w:space="0"/>
              <w:right w:val="single" w:color="auto" w:sz="4" w:space="0"/>
            </w:tcBorders>
            <w:vAlign w:val="center"/>
          </w:tcPr>
          <w:p w14:paraId="00830DDB">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auto"/>
                <w:sz w:val="24"/>
              </w:rPr>
            </w:pPr>
            <w:r>
              <w:rPr>
                <w:rFonts w:hint="eastAsia" w:ascii="宋体" w:hAnsi="宋体" w:cs="宋体"/>
                <w:b/>
                <w:color w:val="auto"/>
                <w:sz w:val="24"/>
              </w:rPr>
              <w:t>复试科目</w:t>
            </w:r>
          </w:p>
        </w:tc>
      </w:tr>
      <w:tr w14:paraId="1EC1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6" w:type="pct"/>
            <w:tcBorders>
              <w:top w:val="single" w:color="auto" w:sz="4" w:space="0"/>
              <w:left w:val="single" w:color="auto" w:sz="4" w:space="0"/>
              <w:bottom w:val="single" w:color="auto" w:sz="4" w:space="0"/>
              <w:right w:val="single" w:color="auto" w:sz="4" w:space="0"/>
            </w:tcBorders>
            <w:vAlign w:val="center"/>
          </w:tcPr>
          <w:p w14:paraId="0F07BEB7">
            <w:pPr>
              <w:keepNext w:val="0"/>
              <w:keepLines w:val="0"/>
              <w:pageBreakBefore w:val="0"/>
              <w:kinsoku/>
              <w:wordWrap/>
              <w:overflowPunct/>
              <w:topLinePunct w:val="0"/>
              <w:autoSpaceDE/>
              <w:autoSpaceDN/>
              <w:bidi w:val="0"/>
              <w:spacing w:line="500" w:lineRule="exact"/>
              <w:jc w:val="center"/>
              <w:textAlignment w:val="auto"/>
              <w:rPr>
                <w:rFonts w:ascii="宋体" w:hAnsi="宋体" w:cs="宋体"/>
                <w:color w:val="auto"/>
                <w:sz w:val="24"/>
              </w:rPr>
            </w:pPr>
            <w:r>
              <w:rPr>
                <w:rFonts w:hint="eastAsia" w:ascii="宋体" w:hAnsi="宋体" w:cs="宋体"/>
                <w:color w:val="auto"/>
                <w:sz w:val="24"/>
              </w:rPr>
              <w:t>1</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14:paraId="3407CCC9">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kern w:val="2"/>
                <w:sz w:val="24"/>
                <w:szCs w:val="24"/>
                <w:lang w:val="en-US" w:eastAsia="zh-CN" w:bidi="ar-SA"/>
              </w:rPr>
            </w:pPr>
            <w:r>
              <w:rPr>
                <w:rFonts w:hint="eastAsia" w:ascii="宋体" w:hAnsi="宋体" w:cs="宋体"/>
                <w:color w:val="auto"/>
                <w:sz w:val="24"/>
                <w:lang w:val="en-US" w:eastAsia="zh-CN"/>
              </w:rPr>
              <w:t>银行经营与风险管理</w:t>
            </w:r>
          </w:p>
        </w:tc>
        <w:tc>
          <w:tcPr>
            <w:tcW w:w="1893" w:type="pct"/>
            <w:vMerge w:val="restart"/>
            <w:tcBorders>
              <w:top w:val="single" w:color="auto" w:sz="4" w:space="0"/>
              <w:left w:val="single" w:color="auto" w:sz="4" w:space="0"/>
              <w:right w:val="single" w:color="auto" w:sz="4" w:space="0"/>
            </w:tcBorders>
            <w:vAlign w:val="center"/>
          </w:tcPr>
          <w:p w14:paraId="2C1229B7">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（1）▲思想政治理论（100分）</w:t>
            </w:r>
          </w:p>
          <w:p w14:paraId="511B7920">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（2）▲英语二（100分）</w:t>
            </w:r>
          </w:p>
          <w:p w14:paraId="4CDDBCC6">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rPr>
            </w:pPr>
            <w:r>
              <w:rPr>
                <w:rFonts w:hint="eastAsia" w:ascii="宋体" w:hAnsi="宋体" w:cs="宋体"/>
                <w:color w:val="auto"/>
                <w:sz w:val="24"/>
              </w:rPr>
              <w:t>（3）▲396经济类综合能力（150分）</w:t>
            </w:r>
          </w:p>
          <w:p w14:paraId="501943B1">
            <w:pPr>
              <w:keepNext w:val="0"/>
              <w:keepLines w:val="0"/>
              <w:pageBreakBefore w:val="0"/>
              <w:kinsoku/>
              <w:wordWrap/>
              <w:overflowPunct/>
              <w:topLinePunct w:val="0"/>
              <w:autoSpaceDE/>
              <w:autoSpaceDN/>
              <w:bidi w:val="0"/>
              <w:spacing w:line="500" w:lineRule="exact"/>
              <w:textAlignment w:val="auto"/>
              <w:rPr>
                <w:rFonts w:ascii="宋体" w:hAnsi="宋体" w:cs="宋体"/>
                <w:color w:val="auto"/>
                <w:sz w:val="24"/>
              </w:rPr>
            </w:pPr>
            <w:r>
              <w:rPr>
                <w:rFonts w:hint="eastAsia" w:ascii="宋体" w:hAnsi="宋体" w:cs="宋体"/>
                <w:color w:val="auto"/>
                <w:sz w:val="24"/>
              </w:rPr>
              <w:t>（4）金融学综合（150分）</w:t>
            </w:r>
          </w:p>
        </w:tc>
        <w:tc>
          <w:tcPr>
            <w:tcW w:w="1497" w:type="pct"/>
            <w:vMerge w:val="restart"/>
            <w:tcBorders>
              <w:top w:val="single" w:color="auto" w:sz="4" w:space="0"/>
              <w:left w:val="single" w:color="auto" w:sz="4" w:space="0"/>
              <w:right w:val="single" w:color="auto" w:sz="4" w:space="0"/>
            </w:tcBorders>
            <w:vAlign w:val="center"/>
          </w:tcPr>
          <w:p w14:paraId="0859B40F">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sz w:val="24"/>
              </w:rPr>
            </w:pPr>
            <w:r>
              <w:rPr>
                <w:rFonts w:hint="eastAsia" w:ascii="宋体" w:hAnsi="宋体" w:cs="宋体"/>
                <w:color w:val="auto"/>
                <w:sz w:val="24"/>
              </w:rPr>
              <w:t>F527-金融学基础（100分）</w:t>
            </w:r>
          </w:p>
        </w:tc>
      </w:tr>
      <w:tr w14:paraId="402A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0" w:type="auto"/>
          </w:tcPr>
          <w:p w14:paraId="3F4FF48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0" w:type="auto"/>
            <w:shd w:val="clear" w:color="auto" w:fill="auto"/>
            <w:vAlign w:val="center"/>
          </w:tcPr>
          <w:p w14:paraId="5DBC4F00">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公司金融与资本市场</w:t>
            </w:r>
          </w:p>
          <w:p w14:paraId="7D606C55">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kern w:val="2"/>
                <w:sz w:val="24"/>
                <w:szCs w:val="24"/>
                <w:lang w:val="en-US" w:eastAsia="zh-CN" w:bidi="ar-SA"/>
              </w:rPr>
            </w:pPr>
          </w:p>
        </w:tc>
        <w:tc>
          <w:tcPr>
            <w:tcW w:w="1893" w:type="pct"/>
            <w:vMerge w:val="continue"/>
            <w:tcBorders>
              <w:left w:val="single" w:color="auto" w:sz="4" w:space="0"/>
              <w:right w:val="single" w:color="auto" w:sz="4" w:space="0"/>
            </w:tcBorders>
          </w:tcPr>
          <w:p w14:paraId="2B2A4200">
            <w:pPr>
              <w:keepNext w:val="0"/>
              <w:keepLines w:val="0"/>
              <w:pageBreakBefore w:val="0"/>
              <w:kinsoku/>
              <w:wordWrap/>
              <w:overflowPunct/>
              <w:topLinePunct w:val="0"/>
              <w:autoSpaceDE/>
              <w:autoSpaceDN/>
              <w:bidi w:val="0"/>
              <w:spacing w:line="500" w:lineRule="exact"/>
              <w:textAlignment w:val="auto"/>
              <w:rPr>
                <w:rFonts w:ascii="宋体" w:hAnsi="宋体" w:cs="宋体"/>
                <w:color w:val="auto"/>
                <w:sz w:val="24"/>
              </w:rPr>
            </w:pPr>
          </w:p>
        </w:tc>
        <w:tc>
          <w:tcPr>
            <w:tcW w:w="1497" w:type="pct"/>
            <w:vMerge w:val="continue"/>
            <w:tcBorders>
              <w:left w:val="single" w:color="auto" w:sz="4" w:space="0"/>
              <w:right w:val="single" w:color="auto" w:sz="4" w:space="0"/>
            </w:tcBorders>
          </w:tcPr>
          <w:p w14:paraId="04A2C549">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sz w:val="24"/>
              </w:rPr>
            </w:pPr>
          </w:p>
        </w:tc>
      </w:tr>
      <w:tr w14:paraId="331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0" w:type="auto"/>
          </w:tcPr>
          <w:p w14:paraId="11C0C03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0" w:type="auto"/>
            <w:shd w:val="clear" w:color="auto" w:fill="auto"/>
            <w:vAlign w:val="center"/>
          </w:tcPr>
          <w:p w14:paraId="5F4F6078">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金融科技与量化投资</w:t>
            </w:r>
          </w:p>
          <w:p w14:paraId="5A7739A6">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kern w:val="2"/>
                <w:sz w:val="24"/>
                <w:szCs w:val="24"/>
                <w:lang w:val="en-US" w:eastAsia="zh-CN" w:bidi="ar-SA"/>
              </w:rPr>
            </w:pPr>
          </w:p>
        </w:tc>
        <w:tc>
          <w:tcPr>
            <w:tcW w:w="1893" w:type="pct"/>
            <w:vMerge w:val="continue"/>
            <w:tcBorders>
              <w:left w:val="single" w:color="auto" w:sz="4" w:space="0"/>
              <w:right w:val="single" w:color="auto" w:sz="4" w:space="0"/>
            </w:tcBorders>
          </w:tcPr>
          <w:p w14:paraId="6610375F">
            <w:pPr>
              <w:keepNext w:val="0"/>
              <w:keepLines w:val="0"/>
              <w:pageBreakBefore w:val="0"/>
              <w:kinsoku/>
              <w:wordWrap/>
              <w:overflowPunct/>
              <w:topLinePunct w:val="0"/>
              <w:autoSpaceDE/>
              <w:autoSpaceDN/>
              <w:bidi w:val="0"/>
              <w:spacing w:line="500" w:lineRule="exact"/>
              <w:textAlignment w:val="auto"/>
              <w:rPr>
                <w:rFonts w:ascii="宋体" w:hAnsi="宋体" w:cs="宋体"/>
                <w:color w:val="auto"/>
                <w:sz w:val="24"/>
              </w:rPr>
            </w:pPr>
          </w:p>
        </w:tc>
        <w:tc>
          <w:tcPr>
            <w:tcW w:w="1497" w:type="pct"/>
            <w:vMerge w:val="continue"/>
            <w:tcBorders>
              <w:left w:val="single" w:color="auto" w:sz="4" w:space="0"/>
              <w:right w:val="single" w:color="auto" w:sz="4" w:space="0"/>
            </w:tcBorders>
          </w:tcPr>
          <w:p w14:paraId="134025FE">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sz w:val="24"/>
              </w:rPr>
            </w:pPr>
          </w:p>
        </w:tc>
      </w:tr>
    </w:tbl>
    <w:p w14:paraId="1E67743C">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
          <w:bCs/>
          <w:color w:val="auto"/>
          <w:sz w:val="24"/>
        </w:rPr>
      </w:pPr>
      <w:r>
        <w:rPr>
          <w:rFonts w:hint="eastAsia" w:ascii="宋体" w:hAnsi="宋体" w:cs="宋体"/>
          <w:b/>
          <w:bCs/>
          <w:color w:val="auto"/>
          <w:sz w:val="24"/>
        </w:rPr>
        <w:t>▲表示统考科目或联考科目，考试题型、考试大纲以教育部公布为准。其他为自命题科目。</w:t>
      </w:r>
    </w:p>
    <w:p w14:paraId="4027EB9C">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b/>
          <w:color w:val="auto"/>
          <w:sz w:val="24"/>
        </w:rPr>
      </w:pPr>
    </w:p>
    <w:p w14:paraId="0DBD1C6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考试题型及相应分值：</w:t>
      </w:r>
    </w:p>
    <w:p w14:paraId="1646F480">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b/>
          <w:color w:val="auto"/>
          <w:kern w:val="0"/>
          <w:sz w:val="24"/>
        </w:rPr>
      </w:pPr>
      <w:r>
        <w:rPr>
          <w:rFonts w:hint="eastAsia" w:ascii="宋体" w:hAnsi="宋体" w:cs="宋体"/>
          <w:b/>
          <w:color w:val="auto"/>
          <w:kern w:val="0"/>
          <w:sz w:val="24"/>
        </w:rPr>
        <w:t xml:space="preserve">《金融学综合》考试题型： </w:t>
      </w:r>
    </w:p>
    <w:p w14:paraId="01B861B8">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eastAsia="宋体" w:cs="宋体"/>
          <w:color w:val="auto"/>
          <w:sz w:val="24"/>
          <w:szCs w:val="24"/>
          <w:shd w:val="clear" w:color="auto" w:fill="FFFFFF"/>
          <w:lang w:bidi="ar"/>
        </w:rPr>
        <w:t>一、</w:t>
      </w:r>
      <w:r>
        <w:rPr>
          <w:rFonts w:hint="eastAsia" w:ascii="宋体" w:hAnsi="宋体" w:cs="宋体"/>
          <w:color w:val="auto"/>
          <w:sz w:val="24"/>
          <w:shd w:val="clear" w:color="auto" w:fill="FFFFFF"/>
        </w:rPr>
        <w:t>名词解释（6题，每题5分，共30分）</w:t>
      </w:r>
    </w:p>
    <w:p w14:paraId="0D69646B">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eastAsia="宋体" w:cs="宋体"/>
          <w:color w:val="auto"/>
          <w:sz w:val="24"/>
          <w:szCs w:val="24"/>
          <w:shd w:val="clear" w:color="auto" w:fill="FFFFFF"/>
          <w:lang w:bidi="ar"/>
        </w:rPr>
        <w:t>二、</w:t>
      </w:r>
      <w:r>
        <w:rPr>
          <w:rFonts w:hint="eastAsia" w:ascii="宋体" w:hAnsi="宋体" w:cs="宋体"/>
          <w:color w:val="auto"/>
          <w:sz w:val="24"/>
          <w:shd w:val="clear" w:color="auto" w:fill="FFFFFF"/>
        </w:rPr>
        <w:t>简答题（</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题，每题10分，共</w:t>
      </w:r>
      <w:r>
        <w:rPr>
          <w:rFonts w:hint="eastAsia" w:ascii="宋体" w:hAnsi="宋体" w:cs="宋体"/>
          <w:color w:val="auto"/>
          <w:sz w:val="24"/>
          <w:shd w:val="clear" w:color="auto" w:fill="FFFFFF"/>
          <w:lang w:val="en-US" w:eastAsia="zh-CN"/>
        </w:rPr>
        <w:t>60</w:t>
      </w:r>
      <w:r>
        <w:rPr>
          <w:rFonts w:hint="eastAsia" w:ascii="宋体" w:hAnsi="宋体" w:cs="宋体"/>
          <w:color w:val="auto"/>
          <w:sz w:val="24"/>
          <w:shd w:val="clear" w:color="auto" w:fill="FFFFFF"/>
        </w:rPr>
        <w:t>分）</w:t>
      </w:r>
    </w:p>
    <w:p w14:paraId="26311E77">
      <w:pPr>
        <w:keepNext w:val="0"/>
        <w:keepLines w:val="0"/>
        <w:pageBreakBefore w:val="0"/>
        <w:kinsoku/>
        <w:wordWrap/>
        <w:overflowPunct/>
        <w:topLinePunct w:val="0"/>
        <w:autoSpaceDE/>
        <w:autoSpaceDN/>
        <w:bidi w:val="0"/>
        <w:snapToGrid w:val="0"/>
        <w:spacing w:line="500" w:lineRule="exact"/>
        <w:textAlignment w:val="auto"/>
        <w:rPr>
          <w:rFonts w:ascii="宋体" w:hAnsi="宋体" w:cs="宋体"/>
          <w:color w:val="auto"/>
          <w:sz w:val="24"/>
          <w:shd w:val="clear" w:color="auto" w:fill="FFFFFF"/>
        </w:rPr>
      </w:pPr>
      <w:r>
        <w:rPr>
          <w:rFonts w:hint="eastAsia" w:ascii="宋体" w:hAnsi="宋体" w:eastAsia="宋体" w:cs="宋体"/>
          <w:color w:val="auto"/>
          <w:sz w:val="24"/>
          <w:szCs w:val="24"/>
          <w:shd w:val="clear" w:color="auto" w:fill="FFFFFF"/>
          <w:lang w:bidi="ar"/>
        </w:rPr>
        <w:t>三、</w:t>
      </w:r>
      <w:r>
        <w:rPr>
          <w:rFonts w:hint="eastAsia" w:ascii="宋体" w:hAnsi="宋体" w:cs="宋体"/>
          <w:color w:val="auto"/>
          <w:sz w:val="24"/>
          <w:shd w:val="clear" w:color="auto" w:fill="FFFFFF"/>
        </w:rPr>
        <w:t>论述题（2题，每题30分，共60分）</w:t>
      </w:r>
    </w:p>
    <w:p w14:paraId="27335A32">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b/>
          <w:color w:val="auto"/>
          <w:kern w:val="0"/>
          <w:sz w:val="24"/>
        </w:rPr>
      </w:pPr>
      <w:r>
        <w:rPr>
          <w:rFonts w:hint="eastAsia" w:ascii="宋体" w:hAnsi="宋体" w:cs="宋体"/>
          <w:b/>
          <w:color w:val="auto"/>
          <w:kern w:val="0"/>
          <w:sz w:val="24"/>
        </w:rPr>
        <w:t xml:space="preserve">《金融学基础》考试题型： </w:t>
      </w:r>
    </w:p>
    <w:p w14:paraId="457E26EA">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color w:val="auto"/>
          <w:sz w:val="24"/>
          <w:shd w:val="clear" w:color="auto" w:fill="FFFFFF"/>
        </w:rPr>
      </w:pPr>
      <w:r>
        <w:rPr>
          <w:rFonts w:hint="eastAsia" w:ascii="宋体" w:hAnsi="宋体" w:eastAsia="宋体" w:cs="宋体"/>
          <w:color w:val="auto"/>
          <w:sz w:val="24"/>
          <w:szCs w:val="24"/>
          <w:shd w:val="clear" w:color="auto" w:fill="FFFFFF"/>
          <w:lang w:bidi="ar"/>
        </w:rPr>
        <w:t>一、</w:t>
      </w:r>
      <w:r>
        <w:rPr>
          <w:rFonts w:hint="eastAsia" w:ascii="宋体" w:hAnsi="宋体" w:cs="宋体"/>
          <w:color w:val="auto"/>
          <w:sz w:val="24"/>
          <w:shd w:val="clear" w:color="auto" w:fill="FFFFFF"/>
        </w:rPr>
        <w:t>名词解释（6题，每题5分，共30分）</w:t>
      </w:r>
    </w:p>
    <w:p w14:paraId="2832711D">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cs="宋体"/>
          <w:color w:val="auto"/>
          <w:sz w:val="24"/>
          <w:shd w:val="clear" w:color="auto" w:fill="FFFFFF"/>
        </w:rPr>
      </w:pPr>
      <w:r>
        <w:rPr>
          <w:rFonts w:hint="eastAsia" w:ascii="宋体" w:hAnsi="宋体" w:eastAsia="宋体" w:cs="宋体"/>
          <w:color w:val="auto"/>
          <w:sz w:val="24"/>
          <w:szCs w:val="24"/>
          <w:shd w:val="clear" w:color="auto" w:fill="FFFFFF"/>
          <w:lang w:bidi="ar"/>
        </w:rPr>
        <w:t>二、</w:t>
      </w:r>
      <w:r>
        <w:rPr>
          <w:rFonts w:hint="eastAsia" w:ascii="宋体" w:hAnsi="宋体" w:cs="宋体"/>
          <w:color w:val="auto"/>
          <w:sz w:val="24"/>
          <w:shd w:val="clear" w:color="auto" w:fill="FFFFFF"/>
        </w:rPr>
        <w:t>简答题  （4题，每题10分，共40分）</w:t>
      </w:r>
    </w:p>
    <w:p w14:paraId="349E31BB">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r>
        <w:rPr>
          <w:rFonts w:hint="eastAsia" w:ascii="宋体" w:hAnsi="宋体" w:eastAsia="宋体" w:cs="宋体"/>
          <w:color w:val="auto"/>
          <w:sz w:val="24"/>
          <w:szCs w:val="24"/>
          <w:shd w:val="clear" w:color="auto" w:fill="FFFFFF"/>
          <w:lang w:bidi="ar"/>
        </w:rPr>
        <w:t>三、</w:t>
      </w:r>
      <w:r>
        <w:rPr>
          <w:rFonts w:hint="eastAsia" w:ascii="宋体" w:hAnsi="宋体" w:cs="宋体"/>
          <w:color w:val="auto"/>
          <w:sz w:val="24"/>
          <w:shd w:val="clear" w:color="auto" w:fill="FFFFFF"/>
        </w:rPr>
        <w:t>论述题  （1题，每题30分，共30分）</w:t>
      </w:r>
    </w:p>
    <w:p w14:paraId="226EF11B">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p>
    <w:p w14:paraId="6DADAB4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参考书：</w:t>
      </w:r>
    </w:p>
    <w:p w14:paraId="67A4B0F5">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1.公司理财(原书第11版)作者:[美]斯蒂芬 A. 罗斯（Stephen A. Ross）等，出版社:机械工业出版社，出版时间:2017年08月</w:t>
      </w:r>
    </w:p>
    <w:p w14:paraId="101D3FB5">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r>
        <w:rPr>
          <w:rFonts w:cs="宋体"/>
          <w:color w:val="auto"/>
          <w:sz w:val="24"/>
          <w:shd w:val="clear" w:color="auto" w:fill="FFFFFF"/>
        </w:rPr>
        <w:t>2.金融学原理（第</w:t>
      </w:r>
      <w:r>
        <w:rPr>
          <w:rFonts w:hint="eastAsia" w:cs="宋体"/>
          <w:color w:val="auto"/>
          <w:sz w:val="24"/>
          <w:shd w:val="clear" w:color="auto" w:fill="FFFFFF"/>
        </w:rPr>
        <w:t>六</w:t>
      </w:r>
      <w:r>
        <w:rPr>
          <w:rFonts w:cs="宋体"/>
          <w:color w:val="auto"/>
          <w:sz w:val="24"/>
          <w:shd w:val="clear" w:color="auto" w:fill="FFFFFF"/>
        </w:rPr>
        <w:t>版）</w:t>
      </w:r>
      <w:r>
        <w:rPr>
          <w:rFonts w:cs="宋体"/>
          <w:color w:val="auto"/>
          <w:kern w:val="0"/>
          <w:sz w:val="24"/>
          <w:shd w:val="clear" w:color="auto" w:fill="FFFFFF"/>
          <w:lang w:bidi="ar"/>
        </w:rPr>
        <w:t>作者:</w:t>
      </w:r>
      <w:r>
        <w:rPr>
          <w:color w:val="auto"/>
        </w:rPr>
        <w:fldChar w:fldCharType="begin"/>
      </w:r>
      <w:r>
        <w:rPr>
          <w:color w:val="auto"/>
        </w:rPr>
        <w:instrText xml:space="preserve"> HYPERLINK "http://search.dangdang.com/?key2=%C5%ED%D0%CB%D4%CF&amp;medium=01&amp;category_path=01.00.00.00.00.00" \t "http://product.dangdang.com/_blank" </w:instrText>
      </w:r>
      <w:r>
        <w:rPr>
          <w:color w:val="auto"/>
        </w:rPr>
        <w:fldChar w:fldCharType="separate"/>
      </w:r>
      <w:r>
        <w:rPr>
          <w:rStyle w:val="9"/>
          <w:rFonts w:cs="宋体"/>
          <w:color w:val="auto"/>
          <w:sz w:val="24"/>
          <w:u w:val="none"/>
          <w:shd w:val="clear" w:color="auto" w:fill="FFFFFF"/>
        </w:rPr>
        <w:t>彭兴韵</w:t>
      </w:r>
      <w:r>
        <w:rPr>
          <w:rStyle w:val="9"/>
          <w:rFonts w:cs="宋体"/>
          <w:color w:val="auto"/>
          <w:sz w:val="24"/>
          <w:u w:val="none"/>
          <w:shd w:val="clear" w:color="auto" w:fill="FFFFFF"/>
        </w:rPr>
        <w:fldChar w:fldCharType="end"/>
      </w:r>
      <w:r>
        <w:rPr>
          <w:rFonts w:cs="宋体"/>
          <w:color w:val="auto"/>
          <w:kern w:val="0"/>
          <w:sz w:val="24"/>
          <w:shd w:val="clear" w:color="auto" w:fill="FFFFFF"/>
          <w:lang w:bidi="ar"/>
        </w:rPr>
        <w:t>，</w:t>
      </w:r>
      <w:r>
        <w:rPr>
          <w:color w:val="auto"/>
        </w:rPr>
        <w:fldChar w:fldCharType="begin"/>
      </w:r>
      <w:r>
        <w:rPr>
          <w:color w:val="auto"/>
        </w:rPr>
        <w:instrText xml:space="preserve"> HYPERLINK "http://search.dangdang.com/?key3=%B8%F1%D6%C2%B3%F6%B0%E6%C9%E7&amp;medium=01&amp;category_path=01.00.00.00.00.00" \t "http://product.dangdang.com/_blank" </w:instrText>
      </w:r>
      <w:r>
        <w:rPr>
          <w:color w:val="auto"/>
        </w:rPr>
        <w:fldChar w:fldCharType="separate"/>
      </w:r>
      <w:r>
        <w:rPr>
          <w:rStyle w:val="9"/>
          <w:rFonts w:cs="宋体"/>
          <w:color w:val="auto"/>
          <w:sz w:val="24"/>
          <w:u w:val="none"/>
          <w:shd w:val="clear" w:color="auto" w:fill="FFFFFF"/>
        </w:rPr>
        <w:t>格致出版社</w:t>
      </w:r>
      <w:r>
        <w:rPr>
          <w:rStyle w:val="9"/>
          <w:rFonts w:cs="宋体"/>
          <w:color w:val="auto"/>
          <w:sz w:val="24"/>
          <w:u w:val="none"/>
          <w:shd w:val="clear" w:color="auto" w:fill="FFFFFF"/>
        </w:rPr>
        <w:fldChar w:fldCharType="end"/>
      </w:r>
      <w:r>
        <w:rPr>
          <w:rFonts w:cs="宋体"/>
          <w:color w:val="auto"/>
          <w:kern w:val="0"/>
          <w:sz w:val="24"/>
          <w:shd w:val="clear" w:color="auto" w:fill="FFFFFF"/>
          <w:lang w:bidi="ar"/>
        </w:rPr>
        <w:t>出版，</w:t>
      </w:r>
      <w:r>
        <w:rPr>
          <w:rFonts w:hint="eastAsia" w:ascii="宋体" w:hAnsi="宋体" w:cs="宋体"/>
          <w:color w:val="auto"/>
          <w:sz w:val="24"/>
          <w:shd w:val="clear" w:color="auto" w:fill="FFFFFF"/>
        </w:rPr>
        <w:t>出版</w:t>
      </w:r>
      <w:r>
        <w:rPr>
          <w:rFonts w:cs="宋体"/>
          <w:color w:val="auto"/>
          <w:kern w:val="0"/>
          <w:sz w:val="24"/>
          <w:shd w:val="clear" w:color="auto" w:fill="FFFFFF"/>
          <w:lang w:bidi="ar"/>
        </w:rPr>
        <w:t>时间:201</w:t>
      </w:r>
      <w:r>
        <w:rPr>
          <w:rFonts w:hint="eastAsia" w:cs="宋体"/>
          <w:color w:val="auto"/>
          <w:kern w:val="0"/>
          <w:sz w:val="24"/>
          <w:shd w:val="clear" w:color="auto" w:fill="FFFFFF"/>
          <w:lang w:bidi="ar"/>
        </w:rPr>
        <w:t>9</w:t>
      </w:r>
      <w:r>
        <w:rPr>
          <w:rFonts w:cs="宋体"/>
          <w:color w:val="auto"/>
          <w:kern w:val="0"/>
          <w:sz w:val="24"/>
          <w:shd w:val="clear" w:color="auto" w:fill="FFFFFF"/>
          <w:lang w:bidi="ar"/>
        </w:rPr>
        <w:t>年07月</w:t>
      </w:r>
      <w:r>
        <w:rPr>
          <w:rFonts w:hint="eastAsia" w:cs="宋体"/>
          <w:color w:val="auto"/>
          <w:kern w:val="0"/>
          <w:sz w:val="24"/>
          <w:shd w:val="clear" w:color="auto" w:fill="FFFFFF"/>
          <w:lang w:bidi="ar"/>
        </w:rPr>
        <w:t>。</w:t>
      </w:r>
    </w:p>
    <w:p w14:paraId="5249118D">
      <w:pPr>
        <w:keepNext w:val="0"/>
        <w:keepLines w:val="0"/>
        <w:pageBreakBefore w:val="0"/>
        <w:kinsoku/>
        <w:wordWrap/>
        <w:overflowPunct/>
        <w:topLinePunct w:val="0"/>
        <w:autoSpaceDE/>
        <w:autoSpaceDN/>
        <w:bidi w:val="0"/>
        <w:snapToGrid w:val="0"/>
        <w:spacing w:line="500" w:lineRule="exact"/>
        <w:textAlignment w:val="auto"/>
        <w:rPr>
          <w:rFonts w:ascii="宋体" w:hAnsi="宋体" w:cs="宋体"/>
          <w:b/>
          <w:color w:val="auto"/>
          <w:sz w:val="24"/>
        </w:rPr>
      </w:pPr>
    </w:p>
    <w:p w14:paraId="5783E58D">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8"/>
          <w:szCs w:val="28"/>
        </w:rPr>
      </w:pPr>
    </w:p>
    <w:p w14:paraId="0DA898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32"/>
          <w:szCs w:val="32"/>
          <w:lang w:eastAsia="zh-CN"/>
        </w:rPr>
      </w:pPr>
      <w:r>
        <w:rPr>
          <w:rFonts w:hint="eastAsia" w:ascii="宋体" w:hAnsi="宋体" w:eastAsia="宋体" w:cs="宋体"/>
          <w:b/>
          <w:bCs/>
          <w:color w:val="auto"/>
          <w:sz w:val="32"/>
          <w:szCs w:val="32"/>
        </w:rPr>
        <w:t>考试大纲</w:t>
      </w:r>
      <w:r>
        <w:rPr>
          <w:rFonts w:hint="eastAsia" w:ascii="宋体" w:hAnsi="宋体" w:cs="宋体"/>
          <w:b/>
          <w:bCs/>
          <w:color w:val="auto"/>
          <w:sz w:val="32"/>
          <w:szCs w:val="32"/>
          <w:lang w:eastAsia="zh-CN"/>
        </w:rPr>
        <w:t>：</w:t>
      </w:r>
    </w:p>
    <w:p w14:paraId="5B26BA4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32"/>
          <w:szCs w:val="32"/>
          <w:lang w:eastAsia="zh-CN"/>
        </w:rPr>
      </w:pPr>
    </w:p>
    <w:p w14:paraId="20D0FEFC">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r>
        <w:rPr>
          <w:rFonts w:hint="eastAsia" w:ascii="黑体" w:hAnsi="黑体" w:eastAsia="黑体" w:cs="黑体"/>
          <w:b/>
          <w:bCs w:val="0"/>
          <w:kern w:val="0"/>
          <w:sz w:val="30"/>
          <w:szCs w:val="30"/>
        </w:rPr>
        <w:t>《金融学综合》</w:t>
      </w:r>
    </w:p>
    <w:p w14:paraId="2CE6A5AC">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p>
    <w:p w14:paraId="21A7BD45">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b/>
          <w:color w:val="auto"/>
          <w:kern w:val="0"/>
          <w:sz w:val="24"/>
          <w:szCs w:val="24"/>
        </w:rPr>
      </w:pPr>
      <w:r>
        <w:rPr>
          <w:rFonts w:hint="eastAsia" w:ascii="宋体" w:hAnsi="宋体" w:cs="宋体"/>
          <w:b/>
          <w:color w:val="auto"/>
          <w:kern w:val="0"/>
          <w:sz w:val="24"/>
          <w:szCs w:val="24"/>
        </w:rPr>
        <w:t>《金融学综合》考试大纲概述：</w:t>
      </w:r>
    </w:p>
    <w:p w14:paraId="48E868E9">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14:paraId="6B45411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cs="宋体"/>
          <w:color w:val="auto"/>
          <w:sz w:val="24"/>
          <w:szCs w:val="24"/>
          <w:shd w:val="clear" w:color="auto" w:fill="FFFFFF"/>
        </w:rPr>
      </w:pPr>
    </w:p>
    <w:p w14:paraId="2D3B2AF7">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第一部分 《金融学》</w:t>
      </w:r>
    </w:p>
    <w:p w14:paraId="0C37C774">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一、总论</w:t>
      </w:r>
    </w:p>
    <w:p w14:paraId="2BF7DA3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w:t>
      </w:r>
    </w:p>
    <w:p w14:paraId="15F749E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货币的定义，货币的职能，货币的类型，货币制度，货币的度量与货币层次的划分、货币与准货币。</w:t>
      </w:r>
    </w:p>
    <w:p w14:paraId="1613F17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2.金融系统</w:t>
      </w:r>
    </w:p>
    <w:p w14:paraId="200BCA5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资金盈余者与资金短缺者，资金盈余者与短缺者直接的联系机制，金融体系的功能，金融工具，金融系统中的信息不对称。</w:t>
      </w:r>
    </w:p>
    <w:p w14:paraId="32FBD3F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3.货币的时间价值</w:t>
      </w:r>
    </w:p>
    <w:p w14:paraId="351C1E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货币的时间价值及其计量，复利与终值的计算，现值与年金现值，年金现值与终值的结合，通货膨胀、利息税的影响。</w:t>
      </w:r>
    </w:p>
    <w:p w14:paraId="60E6499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4.资源的时间配置:储蓄与消费的选择</w:t>
      </w:r>
    </w:p>
    <w:p w14:paraId="089C573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储蓄的性质及其形式，储蓄的动机，储蓄与消费的选择，生命周期储蓄计划。</w:t>
      </w:r>
    </w:p>
    <w:p w14:paraId="03E4830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5.资金盈余者的资产选择与风险管理</w:t>
      </w:r>
    </w:p>
    <w:p w14:paraId="744F9CD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资产的类别及其各自的属性，资产选择的决定因素，资产风险及其管理。</w:t>
      </w:r>
    </w:p>
    <w:p w14:paraId="07A410D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6.资金短缺者的融资选择</w:t>
      </w:r>
    </w:p>
    <w:p w14:paraId="5321563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内源融资与外源融资，外源融资，企业融资结构，政府融资。</w:t>
      </w:r>
    </w:p>
    <w:p w14:paraId="77C86B7B">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二、机构与市场</w:t>
      </w:r>
    </w:p>
    <w:p w14:paraId="1FD2272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7.金融系统中的金融机构</w:t>
      </w:r>
    </w:p>
    <w:p w14:paraId="4510EB8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商业银行，政策性银行，保险公司，证券与期货市场，其他金融机构，政策与监管金融机构。</w:t>
      </w:r>
    </w:p>
    <w:p w14:paraId="10876F2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8.商业银行业务与管理</w:t>
      </w:r>
    </w:p>
    <w:p w14:paraId="7140FC1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商业银行业务，资产与负债管理，流动性管理，信用风险管理，利率风险管理，资产证券化与银行风险管理。</w:t>
      </w:r>
    </w:p>
    <w:p w14:paraId="36C79E5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9.长期资本市场</w:t>
      </w:r>
    </w:p>
    <w:p w14:paraId="77105B6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长期资本市场定义，长期资本市场工具的发行与交易，资本市场债券价值评估，股票价值评估，市场有效性与市场的过度反应。</w:t>
      </w:r>
    </w:p>
    <w:p w14:paraId="30FF58C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10.短期货币市场</w:t>
      </w:r>
    </w:p>
    <w:p w14:paraId="0DCCD2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同业拆借市场，票据市场，短期债券与债券回购市场，货币市场基金。</w:t>
      </w:r>
    </w:p>
    <w:p w14:paraId="254512C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11.外汇市场</w:t>
      </w:r>
    </w:p>
    <w:p w14:paraId="6EBD6BB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外汇与汇率，外汇交易，汇率风险及其管理。</w:t>
      </w:r>
    </w:p>
    <w:p w14:paraId="4B90AC3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12.金融衍生品市场</w:t>
      </w:r>
    </w:p>
    <w:p w14:paraId="4738267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远期交易，期货，期权，互换。</w:t>
      </w:r>
    </w:p>
    <w:p w14:paraId="51A5C2CD">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三、金融调控</w:t>
      </w:r>
    </w:p>
    <w:p w14:paraId="1A9FAFA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13.货币供给</w:t>
      </w:r>
    </w:p>
    <w:p w14:paraId="66C7570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基础货币与基础货币方程式，银行体系派生存款的创造，货币乘数，决定货币乘数值因子的背后因素，货币供给的内生性与外生性。</w:t>
      </w:r>
    </w:p>
    <w:p w14:paraId="1F5206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14.货币需求</w:t>
      </w:r>
    </w:p>
    <w:p w14:paraId="4DBE122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古典货币数量论，凯恩斯的货币需求理论，凯恩斯主义对凯恩斯货币需求理论的发展，现代货币数量论，开放经济中的货币需求、货币替代与资产替代，货币流通速度与货币的迷失。</w:t>
      </w:r>
    </w:p>
    <w:p w14:paraId="182BF90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15.利率水平与利率结构</w:t>
      </w:r>
    </w:p>
    <w:p w14:paraId="41B89C3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利率总水平的决定，利率的风险结构，利率期限结构。</w:t>
      </w:r>
    </w:p>
    <w:p w14:paraId="6BC3DF0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16.物价水平:通货膨胀与通货紧缩</w:t>
      </w:r>
    </w:p>
    <w:p w14:paraId="21CEE7F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物价总水平及其衡量，物价水平波动的经济影响，物价水平与就业，菲利普斯曲线，物价水平波动的原因，物价稳定政策。</w:t>
      </w:r>
    </w:p>
    <w:p w14:paraId="6015AD0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17.汇率的决定与汇率制度</w:t>
      </w:r>
    </w:p>
    <w:p w14:paraId="7DE6347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汇率波动的经济影响，汇率的决定，汇率制度，最优货币区。</w:t>
      </w:r>
    </w:p>
    <w:p w14:paraId="346A3BF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18.国际收支</w:t>
      </w:r>
    </w:p>
    <w:p w14:paraId="154087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国际收支与国际收支平衡表，国际收支失衡，国际收支失衡的调整，汇率在国际收支调节中的作用，内外均衡的冲突与政策搭配。</w:t>
      </w:r>
    </w:p>
    <w:p w14:paraId="40CC03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19.国民收入与产出的决定:IS-LM模型，总产出的决定，商品市场的均衡：IS曲线，货币市场的均衡：LM曲线，均衡国民收入的决定与自动调整机制，IS-LM模型中的财政政策与货币政策。</w:t>
      </w:r>
    </w:p>
    <w:p w14:paraId="49A0A6D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20.中央银行货币政策操作</w:t>
      </w:r>
    </w:p>
    <w:p w14:paraId="392B269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货币政策的终极目标，货币政策操作工具，货币政策的手段变量与中介目标，货币政策传导机制，货币政策效果，货币政策哲学。</w:t>
      </w:r>
    </w:p>
    <w:p w14:paraId="0106F3F3">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四、金融发展与稳定</w:t>
      </w:r>
    </w:p>
    <w:p w14:paraId="2E3C96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21.金融发展与金融结构</w:t>
      </w:r>
    </w:p>
    <w:p w14:paraId="5E6CFD3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金融发展，金融发展中的金融相关比率，金融发展的路径，现代金融结构，金融发展中的金融全球化。</w:t>
      </w:r>
    </w:p>
    <w:p w14:paraId="5756CAF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22.</w:t>
      </w:r>
      <w:r>
        <w:rPr>
          <w:rFonts w:hint="eastAsia" w:ascii="宋体" w:hAnsi="宋体" w:cs="宋体"/>
          <w:color w:val="auto"/>
          <w:sz w:val="24"/>
          <w:szCs w:val="24"/>
          <w:shd w:val="clear" w:color="auto" w:fill="FFFFFF"/>
        </w:rPr>
        <w:t>金融深化与金融自由</w:t>
      </w:r>
      <w:r>
        <w:rPr>
          <w:rFonts w:hint="eastAsia" w:ascii="宋体" w:hAnsi="宋体" w:cs="宋体"/>
          <w:color w:val="auto"/>
          <w:sz w:val="24"/>
          <w:szCs w:val="24"/>
          <w:shd w:val="clear" w:color="auto" w:fill="FFFFFF"/>
          <w:lang w:val="en-US" w:eastAsia="zh-CN"/>
        </w:rPr>
        <w:t>化</w:t>
      </w:r>
    </w:p>
    <w:p w14:paraId="77034B57">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发展中国家金融制度的特征及金融抑制，货币与资本的互补性、储蓄与增长的良性循环，金融自由化。</w:t>
      </w:r>
    </w:p>
    <w:p w14:paraId="18D058D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23.金融危机</w:t>
      </w:r>
    </w:p>
    <w:p w14:paraId="5A70896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金融危机定义，金融脆弱性与金融泡沫，金融</w:t>
      </w:r>
      <w:r>
        <w:rPr>
          <w:rFonts w:hint="eastAsia" w:ascii="宋体" w:hAnsi="宋体" w:cs="宋体"/>
          <w:color w:val="auto"/>
          <w:sz w:val="24"/>
          <w:szCs w:val="24"/>
          <w:shd w:val="clear" w:color="auto" w:fill="FFFFFF"/>
          <w:lang w:val="en-US" w:eastAsia="zh-CN"/>
        </w:rPr>
        <w:t>不</w:t>
      </w:r>
      <w:r>
        <w:rPr>
          <w:rFonts w:hint="eastAsia" w:ascii="宋体" w:hAnsi="宋体" w:cs="宋体"/>
          <w:color w:val="auto"/>
          <w:sz w:val="24"/>
          <w:szCs w:val="24"/>
          <w:shd w:val="clear" w:color="auto" w:fill="FFFFFF"/>
        </w:rPr>
        <w:t>稳定模型与金融危机的形成过程，货币危机理论，金融危机的防范。</w:t>
      </w:r>
    </w:p>
    <w:p w14:paraId="0D9721F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24.金融监管</w:t>
      </w:r>
    </w:p>
    <w:p w14:paraId="607922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金融监管的必要性，银行业的监管，资本市场的监管，保险监管，金融监管体制</w:t>
      </w:r>
      <w:r>
        <w:rPr>
          <w:rFonts w:hint="eastAsia" w:ascii="宋体" w:hAnsi="宋体" w:cs="宋体"/>
          <w:color w:val="auto"/>
          <w:sz w:val="24"/>
          <w:szCs w:val="24"/>
          <w:shd w:val="clear" w:color="auto" w:fill="FFFFFF"/>
          <w:lang w:eastAsia="zh-CN"/>
        </w:rPr>
        <w:t>。</w:t>
      </w:r>
    </w:p>
    <w:p w14:paraId="72EB031D">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第二部分 《公司金融》</w:t>
      </w:r>
    </w:p>
    <w:p w14:paraId="73C2DC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1.公司财务概述</w:t>
      </w:r>
    </w:p>
    <w:p w14:paraId="5306A3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公司财务的定义，企业的组织形式，财务管理目标。</w:t>
      </w:r>
    </w:p>
    <w:p w14:paraId="61A822C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2.财务报表分析</w:t>
      </w:r>
    </w:p>
    <w:p w14:paraId="64FBCD8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会计报表，财务比率分析，杜邦恒等式。</w:t>
      </w:r>
    </w:p>
    <w:p w14:paraId="6583594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3.长期财务规划</w:t>
      </w:r>
    </w:p>
    <w:p w14:paraId="4A4F3CC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财务计划模型，销售百分比法，外部筹资与增长。</w:t>
      </w:r>
    </w:p>
    <w:p w14:paraId="29A3C3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4.未来现金流量估价</w:t>
      </w:r>
    </w:p>
    <w:p w14:paraId="1CA2C16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现金流、折现与复利，债券的估值，股票的估值。</w:t>
      </w:r>
    </w:p>
    <w:p w14:paraId="0BFE76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5.资本预算</w:t>
      </w:r>
    </w:p>
    <w:p w14:paraId="26FA169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投资决策方法，增量现金流，净现值运用，敏感性分析、情境分析与保本点分析。</w:t>
      </w:r>
    </w:p>
    <w:p w14:paraId="52F86BE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6.风险与收益</w:t>
      </w:r>
    </w:p>
    <w:p w14:paraId="2CD2FCE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风险与收益的度量，均值方差模型，系统性风险与非系统性风险。</w:t>
      </w:r>
    </w:p>
    <w:p w14:paraId="3116775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7.资产定价理论</w:t>
      </w:r>
    </w:p>
    <w:p w14:paraId="083C75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资本资产定价模型（CAPM），套利定价模型（APT），CAPM与APT的比较。</w:t>
      </w:r>
    </w:p>
    <w:p w14:paraId="6023F12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8.资本成本</w:t>
      </w:r>
    </w:p>
    <w:p w14:paraId="67EB01D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贝塔（β）的估计，加权平均资本成本（WACC），公司资本成本与项目资本成本。</w:t>
      </w:r>
    </w:p>
    <w:p w14:paraId="0AE084E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9.有效市场假说</w:t>
      </w:r>
    </w:p>
    <w:p w14:paraId="1D47D86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有效资本市场的概念，有效资本市场的形式，有效市场与公司财务。</w:t>
      </w:r>
    </w:p>
    <w:p w14:paraId="05524F3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10.资本结构与公司价值</w:t>
      </w:r>
    </w:p>
    <w:p w14:paraId="2C07AD1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债务融资与股权融资，财务杠杆效应，MM 定理。</w:t>
      </w:r>
    </w:p>
    <w:p w14:paraId="6D24795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11.杠杆企业价值评估</w:t>
      </w:r>
    </w:p>
    <w:p w14:paraId="7756345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调整净现值法（APV），权益现金流法（FTE），加权平均资本成本法（WACC），三种方法的应用与比较。</w:t>
      </w:r>
    </w:p>
    <w:p w14:paraId="3C82723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12.股利与股利政策</w:t>
      </w:r>
    </w:p>
    <w:p w14:paraId="4B81AD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现金股利与股利派发，股利政策与投资决策，偏爱低股利、高股利的现实因素。</w:t>
      </w:r>
    </w:p>
    <w:p w14:paraId="693F438B">
      <w:pPr>
        <w:keepNext w:val="0"/>
        <w:keepLines w:val="0"/>
        <w:pageBreakBefore w:val="0"/>
        <w:widowControl/>
        <w:kinsoku/>
        <w:wordWrap/>
        <w:overflowPunct/>
        <w:topLinePunct w:val="0"/>
        <w:autoSpaceDE/>
        <w:autoSpaceDN/>
        <w:bidi w:val="0"/>
        <w:snapToGrid w:val="0"/>
        <w:spacing w:line="500" w:lineRule="exact"/>
        <w:jc w:val="center"/>
        <w:textAlignment w:val="auto"/>
        <w:rPr>
          <w:rFonts w:ascii="宋体" w:hAnsi="宋体" w:cs="宋体"/>
          <w:b/>
          <w:bCs/>
          <w:color w:val="auto"/>
          <w:kern w:val="0"/>
          <w:sz w:val="24"/>
          <w:szCs w:val="24"/>
        </w:rPr>
      </w:pPr>
    </w:p>
    <w:p w14:paraId="7FA487ED">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r>
        <w:rPr>
          <w:rFonts w:hint="eastAsia" w:ascii="黑体" w:hAnsi="黑体" w:eastAsia="黑体" w:cs="黑体"/>
          <w:b/>
          <w:bCs w:val="0"/>
          <w:color w:val="auto"/>
          <w:kern w:val="0"/>
          <w:sz w:val="30"/>
          <w:szCs w:val="30"/>
        </w:rPr>
        <w:t>《金融学基础[金融硕士]》</w:t>
      </w:r>
    </w:p>
    <w:p w14:paraId="0621116E">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p>
    <w:p w14:paraId="14E9BDB6">
      <w:pPr>
        <w:keepNext w:val="0"/>
        <w:keepLines w:val="0"/>
        <w:pageBreakBefore w:val="0"/>
        <w:widowControl/>
        <w:kinsoku/>
        <w:wordWrap/>
        <w:overflowPunct/>
        <w:topLinePunct w:val="0"/>
        <w:autoSpaceDE/>
        <w:autoSpaceDN/>
        <w:bidi w:val="0"/>
        <w:snapToGrid w:val="0"/>
        <w:spacing w:line="500" w:lineRule="exact"/>
        <w:textAlignment w:val="auto"/>
        <w:rPr>
          <w:rFonts w:ascii="宋体" w:hAnsi="宋体" w:cs="宋体"/>
          <w:color w:val="auto"/>
          <w:kern w:val="0"/>
          <w:sz w:val="24"/>
          <w:szCs w:val="24"/>
        </w:rPr>
      </w:pPr>
      <w:r>
        <w:rPr>
          <w:rFonts w:hint="eastAsia" w:ascii="宋体" w:hAnsi="宋体" w:cs="宋体"/>
          <w:b/>
          <w:color w:val="auto"/>
          <w:kern w:val="0"/>
          <w:sz w:val="24"/>
          <w:szCs w:val="24"/>
        </w:rPr>
        <w:t>《金融学基础[金融硕士]》考试大纲概述：</w:t>
      </w:r>
    </w:p>
    <w:p w14:paraId="53C669BE">
      <w:pPr>
        <w:pStyle w:val="4"/>
        <w:bidi w:val="0"/>
        <w:rPr>
          <w:rFonts w:hint="eastAsia"/>
        </w:rPr>
      </w:pPr>
      <w:r>
        <w:rPr>
          <w:rFonts w:hint="eastAsia"/>
        </w:rPr>
        <w:t>考察学生对金融学和公司财务的基本知识的掌握和运用能力，注重对学生知识结构和运用知识的考察。</w:t>
      </w:r>
    </w:p>
    <w:p w14:paraId="18E374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shd w:val="clear" w:color="auto" w:fill="FFFFFF"/>
        </w:rPr>
      </w:pPr>
    </w:p>
    <w:p w14:paraId="0C15CD0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（一）金融学</w:t>
      </w:r>
    </w:p>
    <w:p w14:paraId="148C8E0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一、货币与货币制度</w:t>
      </w:r>
    </w:p>
    <w:p w14:paraId="4B5D8DA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1.货币的职能与货币制度</w:t>
      </w:r>
    </w:p>
    <w:p w14:paraId="0AF3B69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2.国际货币体系</w:t>
      </w:r>
    </w:p>
    <w:p w14:paraId="5856096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二、利息和利率</w:t>
      </w:r>
    </w:p>
    <w:p w14:paraId="3936413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1.利息</w:t>
      </w:r>
    </w:p>
    <w:p w14:paraId="36490FF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2.利率决定理论</w:t>
      </w:r>
    </w:p>
    <w:p w14:paraId="751D131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3.利率的期限结构</w:t>
      </w:r>
    </w:p>
    <w:p w14:paraId="60DD02A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三、外汇与汇率</w:t>
      </w:r>
    </w:p>
    <w:p w14:paraId="7A859DE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1.外汇</w:t>
      </w:r>
    </w:p>
    <w:p w14:paraId="4DDD8B0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2.汇率与汇率制度</w:t>
      </w:r>
    </w:p>
    <w:p w14:paraId="3EABE4E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3.币值、利率与汇率</w:t>
      </w:r>
    </w:p>
    <w:p w14:paraId="5247291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4.汇率决定理论</w:t>
      </w:r>
    </w:p>
    <w:p w14:paraId="5E63459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四、金融市场与机构</w:t>
      </w:r>
    </w:p>
    <w:p w14:paraId="4A3A816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1.金融市场及其要素</w:t>
      </w:r>
    </w:p>
    <w:p w14:paraId="2A92E11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2.货币市场</w:t>
      </w:r>
    </w:p>
    <w:p w14:paraId="4795518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3.资本市场</w:t>
      </w:r>
    </w:p>
    <w:p w14:paraId="68483F3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4.衍生工具市场</w:t>
      </w:r>
    </w:p>
    <w:p w14:paraId="1011C8D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5.金融机构（种类、功能）</w:t>
      </w:r>
    </w:p>
    <w:p w14:paraId="0D30E67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五、商业银行</w:t>
      </w:r>
    </w:p>
    <w:p w14:paraId="220FCE0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1.商业银行的负债业务</w:t>
      </w:r>
    </w:p>
    <w:p w14:paraId="09E2E6A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2.商业银行的资产业务</w:t>
      </w:r>
    </w:p>
    <w:p w14:paraId="4C1A85D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3.商业银行的中间业务和表外业务</w:t>
      </w:r>
    </w:p>
    <w:p w14:paraId="150F225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4.商业银行的风险特征</w:t>
      </w:r>
    </w:p>
    <w:p w14:paraId="2248565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六、现代货币创造机制</w:t>
      </w:r>
    </w:p>
    <w:p w14:paraId="2EA6088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1.存款货币的创造机制</w:t>
      </w:r>
    </w:p>
    <w:p w14:paraId="0A315C7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2.中央银行职能</w:t>
      </w:r>
    </w:p>
    <w:p w14:paraId="1D27533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3.中央银行体制下的货币创造过程</w:t>
      </w:r>
    </w:p>
    <w:p w14:paraId="6E74EED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七、货币供求与均衡</w:t>
      </w:r>
    </w:p>
    <w:p w14:paraId="32BBBF3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1.货币需求理论</w:t>
      </w:r>
    </w:p>
    <w:p w14:paraId="2E1B05C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2.货币供给</w:t>
      </w:r>
    </w:p>
    <w:p w14:paraId="626A779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3.货币均衡</w:t>
      </w:r>
    </w:p>
    <w:p w14:paraId="2A71D5C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4.通货膨胀与通货紧缩</w:t>
      </w:r>
    </w:p>
    <w:p w14:paraId="4E777DD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八、货币政策</w:t>
      </w:r>
    </w:p>
    <w:p w14:paraId="3CE593A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1.货币政策及其目标</w:t>
      </w:r>
    </w:p>
    <w:p w14:paraId="16C420B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2.货币政策工具</w:t>
      </w:r>
    </w:p>
    <w:p w14:paraId="61A81CD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3.货币政策的传导机制和中介指标</w:t>
      </w:r>
    </w:p>
    <w:p w14:paraId="0E15B2A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九、国际收支与国际资本流动</w:t>
      </w:r>
    </w:p>
    <w:p w14:paraId="1155D79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1.国际收支</w:t>
      </w:r>
    </w:p>
    <w:p w14:paraId="4CAB08B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2.国际储备</w:t>
      </w:r>
    </w:p>
    <w:p w14:paraId="7EA1D43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3.国际资本流动</w:t>
      </w:r>
    </w:p>
    <w:p w14:paraId="5E0AE7A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十、金融监管</w:t>
      </w:r>
    </w:p>
    <w:p w14:paraId="496DC8B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1.金融监管理论</w:t>
      </w:r>
    </w:p>
    <w:p w14:paraId="07B59A6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2.巴塞尔协议</w:t>
      </w:r>
    </w:p>
    <w:p w14:paraId="58DEBBA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3.金融机构监管</w:t>
      </w:r>
    </w:p>
    <w:p w14:paraId="5DEF99F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4.金融市场监管</w:t>
      </w:r>
    </w:p>
    <w:p w14:paraId="744BB9D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p>
    <w:p w14:paraId="58A879D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（二）公司财务</w:t>
      </w:r>
    </w:p>
    <w:p w14:paraId="23C17C1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一、公司财务概述</w:t>
      </w:r>
    </w:p>
    <w:p w14:paraId="52535D4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1.什么是公司财务</w:t>
      </w:r>
    </w:p>
    <w:p w14:paraId="6631A75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2.财务管理目标</w:t>
      </w:r>
    </w:p>
    <w:p w14:paraId="05A1C16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二、财务报表分析</w:t>
      </w:r>
    </w:p>
    <w:p w14:paraId="2F086B4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1.会计报表</w:t>
      </w:r>
    </w:p>
    <w:p w14:paraId="26F59CA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2.财务报表比率分析</w:t>
      </w:r>
    </w:p>
    <w:p w14:paraId="26FC708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三、长期财务规划</w:t>
      </w:r>
    </w:p>
    <w:p w14:paraId="2CB2CC7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1.销售百分比法</w:t>
      </w:r>
    </w:p>
    <w:p w14:paraId="641CF84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2.外部融资与增长</w:t>
      </w:r>
    </w:p>
    <w:p w14:paraId="48D6E26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四、折现与价值</w:t>
      </w:r>
    </w:p>
    <w:p w14:paraId="729FA25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1.现金流与折现</w:t>
      </w:r>
    </w:p>
    <w:p w14:paraId="435F75F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2.债券的估值</w:t>
      </w:r>
    </w:p>
    <w:p w14:paraId="73AC438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3.股票的估值</w:t>
      </w:r>
    </w:p>
    <w:p w14:paraId="4177C0B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五、资本预算</w:t>
      </w:r>
    </w:p>
    <w:p w14:paraId="40BEA42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1.投资决策方法</w:t>
      </w:r>
    </w:p>
    <w:p w14:paraId="6AF38A0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2.增量现金流</w:t>
      </w:r>
    </w:p>
    <w:p w14:paraId="046C4D1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3.净现值运用</w:t>
      </w:r>
    </w:p>
    <w:p w14:paraId="67CBF44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4.资本预算中的风险分析</w:t>
      </w:r>
    </w:p>
    <w:p w14:paraId="147A869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六、风险与收益</w:t>
      </w:r>
    </w:p>
    <w:p w14:paraId="6DE040E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1.风险与收益的度量</w:t>
      </w:r>
    </w:p>
    <w:p w14:paraId="3AF4B77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2.均值方差模型</w:t>
      </w:r>
    </w:p>
    <w:p w14:paraId="11AD7EC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3.资本资产定价模型</w:t>
      </w:r>
    </w:p>
    <w:p w14:paraId="7AFE3D3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4.无套利定价模型</w:t>
      </w:r>
    </w:p>
    <w:p w14:paraId="7252CD1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七、加权平均资本成本</w:t>
      </w:r>
    </w:p>
    <w:p w14:paraId="01BAF10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1.贝塔（β）的估计</w:t>
      </w:r>
    </w:p>
    <w:p w14:paraId="37BBD8A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2.加权平均资本成本（WACC）</w:t>
      </w:r>
    </w:p>
    <w:p w14:paraId="4C81371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八、有效市场假说</w:t>
      </w:r>
    </w:p>
    <w:p w14:paraId="4009DE2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1.有效资本市场的概念</w:t>
      </w:r>
    </w:p>
    <w:p w14:paraId="24F91EB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2.有效资本市场的形式</w:t>
      </w:r>
    </w:p>
    <w:p w14:paraId="2F11390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3.有效市场与公司财务</w:t>
      </w:r>
    </w:p>
    <w:p w14:paraId="217FC64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九、资本结构与公司价值</w:t>
      </w:r>
    </w:p>
    <w:p w14:paraId="73E05AC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1.债务融资与股权融资</w:t>
      </w:r>
    </w:p>
    <w:p w14:paraId="49760F2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2.资本结构</w:t>
      </w:r>
    </w:p>
    <w:p w14:paraId="7793AF4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3.MM 定理</w:t>
      </w:r>
    </w:p>
    <w:p w14:paraId="453D95A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十、公司价值评估</w:t>
      </w:r>
    </w:p>
    <w:p w14:paraId="77F0806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1.公司价值评估的主要方法</w:t>
      </w:r>
    </w:p>
    <w:p w14:paraId="43025A5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2.三种方法的应用与比较</w:t>
      </w:r>
    </w:p>
    <w:p w14:paraId="17334B69">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auto"/>
          <w:sz w:val="24"/>
          <w:shd w:val="clear" w:color="auto" w:fill="FFFFFF"/>
        </w:rPr>
      </w:pPr>
    </w:p>
    <w:p w14:paraId="46B9AF35">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000000"/>
          <w:sz w:val="24"/>
          <w:shd w:val="clear" w:color="auto" w:fill="FFFFFF"/>
        </w:rPr>
      </w:pPr>
    </w:p>
    <w:p w14:paraId="5D991322">
      <w:pPr>
        <w:keepNext w:val="0"/>
        <w:keepLines w:val="0"/>
        <w:pageBreakBefore w:val="0"/>
        <w:kinsoku/>
        <w:wordWrap/>
        <w:overflowPunct/>
        <w:topLinePunct w:val="0"/>
        <w:autoSpaceDE/>
        <w:autoSpaceDN/>
        <w:bidi w:val="0"/>
        <w:adjustRightInd w:val="0"/>
        <w:snapToGrid w:val="0"/>
        <w:spacing w:line="500" w:lineRule="exact"/>
        <w:textAlignment w:val="auto"/>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7F8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57B"/>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660"/>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2117"/>
    <w:rsid w:val="00F45C2B"/>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003798"/>
    <w:rsid w:val="05611A13"/>
    <w:rsid w:val="06FC6923"/>
    <w:rsid w:val="08962DA7"/>
    <w:rsid w:val="09EF6C13"/>
    <w:rsid w:val="0A5142E8"/>
    <w:rsid w:val="0BC64B5A"/>
    <w:rsid w:val="0C303663"/>
    <w:rsid w:val="0D1E1C11"/>
    <w:rsid w:val="0D8909EA"/>
    <w:rsid w:val="0E903DF5"/>
    <w:rsid w:val="0F140E0F"/>
    <w:rsid w:val="101F18D4"/>
    <w:rsid w:val="10E87F18"/>
    <w:rsid w:val="11000D9F"/>
    <w:rsid w:val="118D50B5"/>
    <w:rsid w:val="11F67D41"/>
    <w:rsid w:val="13B43E61"/>
    <w:rsid w:val="14411E19"/>
    <w:rsid w:val="155D77AD"/>
    <w:rsid w:val="16383F96"/>
    <w:rsid w:val="16D4113B"/>
    <w:rsid w:val="18251831"/>
    <w:rsid w:val="1A746636"/>
    <w:rsid w:val="1B79633D"/>
    <w:rsid w:val="1B9550EA"/>
    <w:rsid w:val="1BE51C24"/>
    <w:rsid w:val="1C6074FD"/>
    <w:rsid w:val="1C855B43"/>
    <w:rsid w:val="1D310127"/>
    <w:rsid w:val="1D70551D"/>
    <w:rsid w:val="1D754562"/>
    <w:rsid w:val="1DAD6772"/>
    <w:rsid w:val="1E2E7C22"/>
    <w:rsid w:val="1F52137F"/>
    <w:rsid w:val="1FF739DA"/>
    <w:rsid w:val="20E6220C"/>
    <w:rsid w:val="22B97967"/>
    <w:rsid w:val="22D156E0"/>
    <w:rsid w:val="236B0C61"/>
    <w:rsid w:val="23ED78C8"/>
    <w:rsid w:val="245B20A7"/>
    <w:rsid w:val="24613C2E"/>
    <w:rsid w:val="25164BFC"/>
    <w:rsid w:val="258A0FC2"/>
    <w:rsid w:val="27290BCE"/>
    <w:rsid w:val="278D78E5"/>
    <w:rsid w:val="29746120"/>
    <w:rsid w:val="2DED7947"/>
    <w:rsid w:val="2E0B6806"/>
    <w:rsid w:val="2E344345"/>
    <w:rsid w:val="2EAC037F"/>
    <w:rsid w:val="2F234AE5"/>
    <w:rsid w:val="30D43EC5"/>
    <w:rsid w:val="31085D41"/>
    <w:rsid w:val="316B72F7"/>
    <w:rsid w:val="31BE0AF5"/>
    <w:rsid w:val="343230D5"/>
    <w:rsid w:val="343D21A6"/>
    <w:rsid w:val="37D76E1E"/>
    <w:rsid w:val="380F2C8C"/>
    <w:rsid w:val="399C1256"/>
    <w:rsid w:val="39BA6046"/>
    <w:rsid w:val="3A514D9C"/>
    <w:rsid w:val="3AE83A19"/>
    <w:rsid w:val="3D127F47"/>
    <w:rsid w:val="3D4405F8"/>
    <w:rsid w:val="3D5F7D43"/>
    <w:rsid w:val="3E4E3D54"/>
    <w:rsid w:val="3E6C0F38"/>
    <w:rsid w:val="3EF31FD3"/>
    <w:rsid w:val="40A47108"/>
    <w:rsid w:val="41796F60"/>
    <w:rsid w:val="432F6240"/>
    <w:rsid w:val="4342117E"/>
    <w:rsid w:val="444A55FE"/>
    <w:rsid w:val="44A00931"/>
    <w:rsid w:val="45F511D4"/>
    <w:rsid w:val="462F1762"/>
    <w:rsid w:val="477E06B3"/>
    <w:rsid w:val="47AF3547"/>
    <w:rsid w:val="47B219D6"/>
    <w:rsid w:val="47CD5197"/>
    <w:rsid w:val="489108BA"/>
    <w:rsid w:val="493378F2"/>
    <w:rsid w:val="4A2A4B22"/>
    <w:rsid w:val="4AAA17BF"/>
    <w:rsid w:val="4BD97FD4"/>
    <w:rsid w:val="4CA30BBC"/>
    <w:rsid w:val="4CC90623"/>
    <w:rsid w:val="4E921352"/>
    <w:rsid w:val="4EC80F2C"/>
    <w:rsid w:val="4FAF07DA"/>
    <w:rsid w:val="4FF05EC6"/>
    <w:rsid w:val="530C1904"/>
    <w:rsid w:val="53141224"/>
    <w:rsid w:val="53761B3F"/>
    <w:rsid w:val="541F4B01"/>
    <w:rsid w:val="54865A3B"/>
    <w:rsid w:val="566D0271"/>
    <w:rsid w:val="57861462"/>
    <w:rsid w:val="586B670E"/>
    <w:rsid w:val="5B1504D7"/>
    <w:rsid w:val="5B85605C"/>
    <w:rsid w:val="5C594A54"/>
    <w:rsid w:val="5C61405A"/>
    <w:rsid w:val="5C6308CD"/>
    <w:rsid w:val="5D4B055D"/>
    <w:rsid w:val="5D7C6FEB"/>
    <w:rsid w:val="5E8F0FA0"/>
    <w:rsid w:val="5F357D99"/>
    <w:rsid w:val="5F514214"/>
    <w:rsid w:val="61096DE8"/>
    <w:rsid w:val="61175037"/>
    <w:rsid w:val="611F485D"/>
    <w:rsid w:val="62920D3C"/>
    <w:rsid w:val="63DE65F4"/>
    <w:rsid w:val="64267CB1"/>
    <w:rsid w:val="647B624F"/>
    <w:rsid w:val="659B022A"/>
    <w:rsid w:val="660D2ED6"/>
    <w:rsid w:val="667C005C"/>
    <w:rsid w:val="67AC52CD"/>
    <w:rsid w:val="681A18DB"/>
    <w:rsid w:val="681E78A4"/>
    <w:rsid w:val="691C6F70"/>
    <w:rsid w:val="691E189E"/>
    <w:rsid w:val="69466376"/>
    <w:rsid w:val="6B9B6B4A"/>
    <w:rsid w:val="6EE70955"/>
    <w:rsid w:val="728807DC"/>
    <w:rsid w:val="73B66C55"/>
    <w:rsid w:val="73C31078"/>
    <w:rsid w:val="73EF6311"/>
    <w:rsid w:val="744877CF"/>
    <w:rsid w:val="757A7E5C"/>
    <w:rsid w:val="776B4E61"/>
    <w:rsid w:val="786A734C"/>
    <w:rsid w:val="78744CD5"/>
    <w:rsid w:val="796D6DEC"/>
    <w:rsid w:val="79BD47BC"/>
    <w:rsid w:val="7A0057B2"/>
    <w:rsid w:val="7A105769"/>
    <w:rsid w:val="7A3310F3"/>
    <w:rsid w:val="7A5A27EE"/>
    <w:rsid w:val="7C8C26C7"/>
    <w:rsid w:val="7CDB48E8"/>
    <w:rsid w:val="7DD6409E"/>
    <w:rsid w:val="7F1B26B0"/>
    <w:rsid w:val="7F4C192F"/>
    <w:rsid w:val="7F6A116B"/>
    <w:rsid w:val="7FA8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Header Char"/>
    <w:link w:val="6"/>
    <w:qFormat/>
    <w:uiPriority w:val="0"/>
    <w:rPr>
      <w:kern w:val="2"/>
      <w:sz w:val="18"/>
      <w:szCs w:val="18"/>
    </w:rPr>
  </w:style>
  <w:style w:type="character" w:customStyle="1" w:styleId="11">
    <w:name w:val="Footer Char"/>
    <w:link w:val="5"/>
    <w:qFormat/>
    <w:uiPriority w:val="0"/>
    <w:rPr>
      <w:kern w:val="2"/>
      <w:sz w:val="18"/>
      <w:szCs w:val="18"/>
    </w:rPr>
  </w:style>
  <w:style w:type="character" w:customStyle="1" w:styleId="12">
    <w:name w:val="font21"/>
    <w:basedOn w:val="8"/>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4114</Words>
  <Characters>4385</Characters>
  <Lines>36</Lines>
  <Paragraphs>10</Paragraphs>
  <TotalTime>1</TotalTime>
  <ScaleCrop>false</ScaleCrop>
  <LinksUpToDate>false</LinksUpToDate>
  <CharactersWithSpaces>4431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2023-05-30T06:52:00Z</dcterms:created>
  <dc:creator>User</dc:creator>
  <cp:lastModifiedBy>Administrator</cp:lastModifiedBy>
  <cp:lastPrinted>2024-05-28T03:33:00Z</cp:lastPrinted>
  <dcterms:modified xsi:type="dcterms:W3CDTF">2025-09-26T01:57:52Z</dcterms:modified>
  <dc:title>《金融学》考试大纲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A2326B4EC479475088A3B10E5FC145E0_13</vt:lpwstr>
  </property>
  <property fmtid="{D5CDD505-2E9C-101B-9397-08002B2CF9AE}" pid="4" name="KSOTemplateDocerSaveRecord">
    <vt:lpwstr>eyJoZGlkIjoiMzlhMDAzMTNiM2NjMzJjMjdmNjM4N2FlZjkxNTE2OWEiLCJ1c2VySWQiOiI0OTQzNDM1MTAifQ==</vt:lpwstr>
  </property>
</Properties>
</file>