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CBB8C1">
      <w:pPr>
        <w:adjustRightInd w:val="0"/>
        <w:snapToGrid w:val="0"/>
        <w:jc w:val="center"/>
        <w:rPr>
          <w:rFonts w:hint="eastAsia" w:ascii="黑体" w:hAnsi="黑体" w:eastAsia="黑体" w:cs="黑体"/>
          <w:b/>
          <w:color w:val="000000"/>
          <w:sz w:val="36"/>
          <w:szCs w:val="36"/>
        </w:rPr>
      </w:pPr>
      <w:r>
        <w:rPr>
          <w:rFonts w:hint="eastAsia" w:ascii="黑体" w:hAnsi="黑体" w:eastAsia="黑体" w:cs="黑体"/>
          <w:b/>
          <w:color w:val="000000"/>
          <w:sz w:val="36"/>
          <w:szCs w:val="36"/>
        </w:rPr>
        <w:t>国民经济学 020201</w:t>
      </w:r>
    </w:p>
    <w:p w14:paraId="44271994">
      <w:pPr>
        <w:adjustRightInd w:val="0"/>
        <w:snapToGrid w:val="0"/>
        <w:ind w:firstLine="472" w:firstLineChars="196"/>
        <w:rPr>
          <w:rFonts w:hint="eastAsia" w:ascii="宋体" w:hAnsi="宋体"/>
          <w:b/>
          <w:sz w:val="24"/>
        </w:rPr>
      </w:pPr>
    </w:p>
    <w:p w14:paraId="1BC3FB80">
      <w:pPr>
        <w:rPr>
          <w:rFonts w:hint="eastAsia" w:ascii="宋体" w:hAnsi="宋体"/>
          <w:color w:val="000000"/>
          <w:sz w:val="24"/>
        </w:rPr>
      </w:pPr>
      <w:r>
        <w:rPr>
          <w:rFonts w:hint="eastAsia" w:ascii="宋体" w:hAnsi="宋体"/>
          <w:b/>
          <w:sz w:val="24"/>
        </w:rPr>
        <w:t>学科点简介:</w:t>
      </w:r>
      <w:r>
        <w:rPr>
          <w:rFonts w:hint="eastAsia" w:ascii="宋体" w:hAnsi="宋体"/>
          <w:color w:val="000000"/>
          <w:sz w:val="24"/>
        </w:rPr>
        <w:t>国民经济学于2004年开始招收硕士研究生，是学校首批硕士学位授权点。国民经济学硕士点依托于广东财经大学经济学院、广东省普通高校人文社会科学重点研究基地-国民经济研究中心、广东省决策咨询基地-开放型经济创新研究中心、广东省普通高校特色新型智库-数字经济研究院，汇集省重点研究基地、省优势重点学科、省决策咨询基地、省级创新团队的师资力量，实行“多位一体”建设。目前本学科点有10位导师，在经济研究、Energy等国内外重要期刊上发表了一批高水平科研成果。</w:t>
      </w:r>
    </w:p>
    <w:p w14:paraId="579E00DC">
      <w:pPr>
        <w:rPr>
          <w:rFonts w:hint="eastAsia" w:ascii="宋体" w:hAnsi="宋体"/>
          <w:color w:val="000000"/>
          <w:sz w:val="24"/>
        </w:rPr>
      </w:pPr>
    </w:p>
    <w:p w14:paraId="34F4EEF4">
      <w:pPr>
        <w:rPr>
          <w:rFonts w:ascii="宋体" w:hAnsi="宋体"/>
          <w:color w:val="000000"/>
          <w:sz w:val="24"/>
        </w:rPr>
      </w:pPr>
      <w:r>
        <w:rPr>
          <w:rFonts w:hint="eastAsia" w:ascii="宋体" w:hAnsi="宋体"/>
          <w:b/>
          <w:sz w:val="24"/>
        </w:rPr>
        <w:t>培养目标</w:t>
      </w:r>
      <w:r>
        <w:rPr>
          <w:rFonts w:hint="eastAsia" w:ascii="宋体" w:hAnsi="宋体"/>
          <w:b/>
          <w:color w:val="000000"/>
          <w:sz w:val="24"/>
        </w:rPr>
        <w:t>:</w:t>
      </w:r>
      <w:r>
        <w:rPr>
          <w:rFonts w:ascii="??_GB2312" w:hAnsi="宋体" w:eastAsia="Times New Roman"/>
          <w:sz w:val="28"/>
          <w:szCs w:val="28"/>
        </w:rPr>
        <w:t xml:space="preserve"> </w:t>
      </w:r>
      <w:r>
        <w:rPr>
          <w:rFonts w:ascii="宋体" w:hAnsi="宋体"/>
          <w:color w:val="000000"/>
          <w:sz w:val="24"/>
        </w:rPr>
        <w:t>本专业主要培养德、智、体</w:t>
      </w:r>
      <w:r>
        <w:rPr>
          <w:rFonts w:hint="eastAsia" w:ascii="宋体" w:hAnsi="宋体"/>
          <w:color w:val="000000"/>
          <w:sz w:val="24"/>
        </w:rPr>
        <w:t>、美、劳</w:t>
      </w:r>
      <w:r>
        <w:rPr>
          <w:rFonts w:ascii="宋体" w:hAnsi="宋体"/>
          <w:color w:val="000000"/>
          <w:sz w:val="24"/>
        </w:rPr>
        <w:t>全面发展，具备扎实的经济学理论功底和宽广的人文社会科学知识，</w:t>
      </w:r>
      <w:r>
        <w:rPr>
          <w:rFonts w:hint="eastAsia" w:ascii="宋体" w:hAnsi="宋体"/>
          <w:color w:val="000000"/>
          <w:sz w:val="24"/>
        </w:rPr>
        <w:t>熟练掌握现代经济学的研究方法和分析工具，</w:t>
      </w:r>
      <w:r>
        <w:rPr>
          <w:rFonts w:ascii="宋体" w:hAnsi="宋体"/>
          <w:color w:val="000000"/>
          <w:sz w:val="24"/>
        </w:rPr>
        <w:t>基础理论与基本技能扎实，能够独立分析国民经济增长与协调发展问题，能在经济管理部门、事业单位和大中型企业从事管理和研究的中高级专门人才，或具备深造潜力的理论研究新秀。学生毕业之后能够胜任政府部门、企事业单位的经济政策分析、发展战略与规划、经济预测等方面的研究和综合协调管理工作。</w:t>
      </w:r>
    </w:p>
    <w:p w14:paraId="716A6166">
      <w:pPr>
        <w:adjustRightInd w:val="0"/>
        <w:snapToGrid w:val="0"/>
        <w:rPr>
          <w:rFonts w:hint="eastAsia" w:ascii="宋体" w:hAnsi="宋体"/>
          <w:b/>
          <w:color w:val="000000"/>
          <w:sz w:val="24"/>
        </w:rPr>
      </w:pPr>
    </w:p>
    <w:p w14:paraId="11A2DCC8">
      <w:pPr>
        <w:rPr>
          <w:rFonts w:hint="eastAsia" w:ascii="宋体" w:hAnsi="宋体"/>
          <w:color w:val="000000"/>
          <w:sz w:val="24"/>
        </w:rPr>
      </w:pPr>
      <w:r>
        <w:rPr>
          <w:rFonts w:hint="eastAsia" w:ascii="宋体" w:hAnsi="宋体"/>
          <w:b/>
          <w:color w:val="000000"/>
          <w:sz w:val="24"/>
        </w:rPr>
        <w:t>主要课程:</w:t>
      </w:r>
      <w:r>
        <w:rPr>
          <w:rFonts w:hint="eastAsia" w:ascii="宋体" w:hAnsi="宋体"/>
          <w:color w:val="000000"/>
          <w:sz w:val="24"/>
        </w:rPr>
        <w:t>中级微观经济学、中级宏观经济学、中级计量经济学、经济增长理论、新制度经济学、国民经济核算与管理、经济研究方法、经济学流派、可持续发展研究等。</w:t>
      </w:r>
    </w:p>
    <w:p w14:paraId="0CF5452E">
      <w:pPr>
        <w:rPr>
          <w:rFonts w:hint="eastAsia" w:ascii="宋体" w:hAnsi="宋体"/>
          <w:color w:val="000000"/>
          <w:sz w:val="24"/>
        </w:rPr>
      </w:pPr>
    </w:p>
    <w:p w14:paraId="70E763DD">
      <w:pPr>
        <w:adjustRightInd w:val="0"/>
        <w:snapToGrid w:val="0"/>
        <w:rPr>
          <w:rFonts w:hint="eastAsia" w:ascii="宋体" w:hAnsi="宋体"/>
          <w:color w:val="000000"/>
          <w:sz w:val="24"/>
        </w:rPr>
      </w:pPr>
      <w:r>
        <w:rPr>
          <w:rFonts w:hint="eastAsia" w:ascii="宋体" w:hAnsi="宋体"/>
          <w:b/>
          <w:color w:val="000000"/>
          <w:sz w:val="24"/>
        </w:rPr>
        <w:t>就业方向:</w:t>
      </w:r>
      <w:r>
        <w:rPr>
          <w:rFonts w:hint="eastAsia" w:ascii="宋体" w:hAnsi="宋体"/>
          <w:color w:val="000000"/>
          <w:sz w:val="24"/>
        </w:rPr>
        <w:t>经济管理部门、教学科研单位、大中型企业等，或进一步攻读相关学科的博士研究生。</w:t>
      </w:r>
    </w:p>
    <w:p w14:paraId="1C43DD57">
      <w:pPr>
        <w:adjustRightInd w:val="0"/>
        <w:snapToGrid w:val="0"/>
        <w:rPr>
          <w:rFonts w:hint="eastAsia" w:ascii="宋体" w:hAnsi="宋体"/>
          <w:color w:val="000000"/>
          <w:sz w:val="24"/>
        </w:rPr>
      </w:pPr>
    </w:p>
    <w:p w14:paraId="01061561">
      <w:pPr>
        <w:adjustRightInd w:val="0"/>
        <w:snapToGrid w:val="0"/>
        <w:jc w:val="center"/>
        <w:rPr>
          <w:rFonts w:ascii="宋体" w:hAnsi="宋体"/>
          <w:b/>
          <w:color w:val="000000"/>
          <w:sz w:val="24"/>
        </w:rPr>
      </w:pPr>
      <w:r>
        <w:rPr>
          <w:rFonts w:hint="eastAsia" w:ascii="宋体" w:hAnsi="宋体"/>
          <w:b/>
          <w:color w:val="000000"/>
          <w:sz w:val="24"/>
        </w:rPr>
        <w:t>专业代码：020201                        咨询电话：020-84261737</w:t>
      </w:r>
    </w:p>
    <w:tbl>
      <w:tblPr>
        <w:tblStyle w:val="9"/>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03"/>
        <w:gridCol w:w="2737"/>
        <w:gridCol w:w="1800"/>
      </w:tblGrid>
      <w:tr w14:paraId="1AFA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28" w:type="dxa"/>
            <w:noWrap w:val="0"/>
            <w:vAlign w:val="center"/>
          </w:tcPr>
          <w:p w14:paraId="67C4030D">
            <w:pPr>
              <w:jc w:val="center"/>
              <w:rPr>
                <w:rFonts w:hint="eastAsia" w:ascii="宋体" w:hAnsi="宋体"/>
                <w:b/>
                <w:color w:val="000000"/>
                <w:sz w:val="24"/>
                <w:szCs w:val="24"/>
              </w:rPr>
            </w:pPr>
            <w:r>
              <w:rPr>
                <w:rFonts w:hint="eastAsia" w:ascii="宋体" w:hAnsi="宋体"/>
                <w:b/>
                <w:color w:val="000000"/>
                <w:sz w:val="24"/>
                <w:szCs w:val="24"/>
              </w:rPr>
              <w:t>序号</w:t>
            </w:r>
          </w:p>
        </w:tc>
        <w:tc>
          <w:tcPr>
            <w:tcW w:w="3203" w:type="dxa"/>
            <w:noWrap w:val="0"/>
            <w:vAlign w:val="center"/>
          </w:tcPr>
          <w:p w14:paraId="6A98DEE1">
            <w:pPr>
              <w:jc w:val="center"/>
              <w:rPr>
                <w:rFonts w:hint="eastAsia" w:ascii="宋体" w:hAnsi="宋体"/>
                <w:b/>
                <w:color w:val="000000"/>
                <w:sz w:val="24"/>
                <w:szCs w:val="24"/>
              </w:rPr>
            </w:pPr>
            <w:r>
              <w:rPr>
                <w:rFonts w:hint="eastAsia" w:ascii="宋体" w:hAnsi="宋体"/>
                <w:b/>
                <w:color w:val="000000"/>
                <w:sz w:val="24"/>
                <w:szCs w:val="24"/>
              </w:rPr>
              <w:t>研究方向</w:t>
            </w:r>
          </w:p>
        </w:tc>
        <w:tc>
          <w:tcPr>
            <w:tcW w:w="2737" w:type="dxa"/>
            <w:noWrap w:val="0"/>
            <w:vAlign w:val="center"/>
          </w:tcPr>
          <w:p w14:paraId="0E86A291">
            <w:pPr>
              <w:jc w:val="center"/>
              <w:rPr>
                <w:rFonts w:hint="eastAsia" w:ascii="宋体" w:hAnsi="宋体"/>
                <w:b/>
                <w:color w:val="000000"/>
                <w:sz w:val="24"/>
                <w:szCs w:val="24"/>
              </w:rPr>
            </w:pPr>
            <w:r>
              <w:rPr>
                <w:rFonts w:hint="eastAsia" w:ascii="宋体" w:hAnsi="宋体"/>
                <w:b/>
                <w:color w:val="000000"/>
                <w:sz w:val="24"/>
                <w:szCs w:val="24"/>
              </w:rPr>
              <w:t>初试科目</w:t>
            </w:r>
          </w:p>
        </w:tc>
        <w:tc>
          <w:tcPr>
            <w:tcW w:w="1800" w:type="dxa"/>
            <w:noWrap w:val="0"/>
            <w:vAlign w:val="center"/>
          </w:tcPr>
          <w:p w14:paraId="55A82CC5">
            <w:pPr>
              <w:jc w:val="center"/>
              <w:rPr>
                <w:rFonts w:hint="eastAsia" w:ascii="宋体" w:hAnsi="宋体"/>
                <w:b/>
                <w:color w:val="000000"/>
                <w:sz w:val="24"/>
                <w:szCs w:val="24"/>
              </w:rPr>
            </w:pPr>
            <w:r>
              <w:rPr>
                <w:rFonts w:hint="eastAsia" w:ascii="宋体" w:hAnsi="宋体"/>
                <w:b/>
                <w:color w:val="000000"/>
                <w:sz w:val="24"/>
                <w:szCs w:val="24"/>
              </w:rPr>
              <w:t>复试科目</w:t>
            </w:r>
          </w:p>
        </w:tc>
      </w:tr>
      <w:tr w14:paraId="2840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noWrap w:val="0"/>
            <w:vAlign w:val="center"/>
          </w:tcPr>
          <w:p w14:paraId="71FD86F9">
            <w:pPr>
              <w:jc w:val="center"/>
              <w:rPr>
                <w:rFonts w:hint="eastAsia" w:ascii="宋体" w:hAnsi="宋体"/>
                <w:color w:val="000000"/>
                <w:sz w:val="24"/>
                <w:szCs w:val="24"/>
              </w:rPr>
            </w:pPr>
            <w:r>
              <w:rPr>
                <w:rFonts w:hint="eastAsia" w:ascii="宋体" w:hAnsi="宋体"/>
                <w:color w:val="000000"/>
                <w:sz w:val="24"/>
                <w:szCs w:val="24"/>
              </w:rPr>
              <w:t>1</w:t>
            </w:r>
          </w:p>
        </w:tc>
        <w:tc>
          <w:tcPr>
            <w:tcW w:w="3203" w:type="dxa"/>
            <w:noWrap w:val="0"/>
            <w:vAlign w:val="center"/>
          </w:tcPr>
          <w:p w14:paraId="0E321C00">
            <w:pPr>
              <w:jc w:val="left"/>
              <w:rPr>
                <w:rFonts w:hint="eastAsia" w:ascii="宋体" w:hAnsi="宋体"/>
                <w:color w:val="000000"/>
                <w:sz w:val="24"/>
                <w:szCs w:val="22"/>
              </w:rPr>
            </w:pPr>
            <w:r>
              <w:rPr>
                <w:rFonts w:hint="eastAsia" w:ascii="宋体" w:hAnsi="宋体"/>
                <w:color w:val="000000"/>
                <w:sz w:val="24"/>
                <w:szCs w:val="22"/>
              </w:rPr>
              <w:t>数字经济与国民经济转型</w:t>
            </w:r>
          </w:p>
        </w:tc>
        <w:tc>
          <w:tcPr>
            <w:tcW w:w="2737" w:type="dxa"/>
            <w:vMerge w:val="restart"/>
            <w:noWrap w:val="0"/>
            <w:vAlign w:val="center"/>
          </w:tcPr>
          <w:p w14:paraId="4582567D">
            <w:pPr>
              <w:adjustRightInd w:val="0"/>
              <w:snapToGrid w:val="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sz w:val="24"/>
                <w:szCs w:val="24"/>
              </w:rPr>
              <w:t>▲</w:t>
            </w:r>
            <w:r>
              <w:rPr>
                <w:rFonts w:hint="eastAsia" w:ascii="宋体" w:hAnsi="宋体" w:cs="宋体"/>
                <w:color w:val="000000"/>
                <w:sz w:val="24"/>
                <w:szCs w:val="24"/>
              </w:rPr>
              <w:t>思想政治理论（100分）</w:t>
            </w:r>
          </w:p>
          <w:p w14:paraId="0429F291">
            <w:pPr>
              <w:adjustRightInd w:val="0"/>
              <w:snapToGrid w:val="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sz w:val="24"/>
                <w:szCs w:val="24"/>
              </w:rPr>
              <w:t>▲</w:t>
            </w:r>
            <w:r>
              <w:rPr>
                <w:rFonts w:hint="eastAsia" w:ascii="宋体" w:hAnsi="宋体" w:cs="宋体"/>
                <w:color w:val="000000"/>
                <w:sz w:val="24"/>
                <w:szCs w:val="24"/>
              </w:rPr>
              <w:t>英语一（100分）</w:t>
            </w:r>
          </w:p>
          <w:p w14:paraId="15474F7D">
            <w:pPr>
              <w:adjustRightInd w:val="0"/>
              <w:snapToGrid w:val="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sz w:val="24"/>
                <w:szCs w:val="24"/>
              </w:rPr>
              <w:t>▲</w:t>
            </w:r>
            <w:r>
              <w:rPr>
                <w:rFonts w:hint="eastAsia" w:ascii="宋体" w:hAnsi="宋体" w:cs="宋体"/>
                <w:color w:val="000000"/>
                <w:sz w:val="24"/>
                <w:szCs w:val="24"/>
              </w:rPr>
              <w:t>数学三（150分）</w:t>
            </w:r>
          </w:p>
          <w:p w14:paraId="799D79EF">
            <w:pPr>
              <w:rPr>
                <w:rFonts w:hint="eastAsia" w:ascii="宋体" w:hAnsi="宋体"/>
                <w:color w:val="000000"/>
                <w:sz w:val="24"/>
                <w:szCs w:val="24"/>
              </w:rPr>
            </w:pPr>
            <w:r>
              <w:rPr>
                <w:rFonts w:hint="eastAsia" w:ascii="宋体" w:hAnsi="宋体" w:cs="宋体"/>
                <w:color w:val="000000"/>
                <w:sz w:val="24"/>
                <w:szCs w:val="24"/>
              </w:rPr>
              <w:t>（4）经济学基础（150分）</w:t>
            </w:r>
          </w:p>
        </w:tc>
        <w:tc>
          <w:tcPr>
            <w:tcW w:w="1800" w:type="dxa"/>
            <w:vMerge w:val="restart"/>
            <w:noWrap w:val="0"/>
            <w:vAlign w:val="center"/>
          </w:tcPr>
          <w:p w14:paraId="6097DEE8">
            <w:pPr>
              <w:rPr>
                <w:rFonts w:hint="eastAsia" w:ascii="宋体" w:hAnsi="宋体"/>
                <w:color w:val="000000"/>
                <w:sz w:val="24"/>
                <w:szCs w:val="24"/>
              </w:rPr>
            </w:pPr>
            <w:r>
              <w:rPr>
                <w:rFonts w:hint="eastAsia" w:ascii="宋体" w:hAnsi="宋体"/>
                <w:color w:val="000000"/>
                <w:sz w:val="24"/>
                <w:szCs w:val="24"/>
              </w:rPr>
              <w:t>F502-财政与金融（100分）</w:t>
            </w:r>
          </w:p>
          <w:p w14:paraId="3834FC86">
            <w:pPr>
              <w:rPr>
                <w:rFonts w:hint="eastAsia" w:ascii="宋体" w:hAnsi="宋体"/>
                <w:color w:val="000000"/>
                <w:sz w:val="24"/>
                <w:szCs w:val="24"/>
              </w:rPr>
            </w:pPr>
            <w:r>
              <w:rPr>
                <w:rFonts w:hint="eastAsia" w:ascii="宋体" w:hAnsi="宋体"/>
                <w:color w:val="000000"/>
                <w:sz w:val="24"/>
                <w:szCs w:val="24"/>
              </w:rPr>
              <w:t>（自命题）</w:t>
            </w:r>
          </w:p>
          <w:p w14:paraId="73AE5A89">
            <w:pPr>
              <w:rPr>
                <w:rFonts w:hint="eastAsia" w:ascii="宋体" w:hAnsi="宋体"/>
                <w:color w:val="000000"/>
                <w:sz w:val="24"/>
                <w:szCs w:val="24"/>
              </w:rPr>
            </w:pPr>
          </w:p>
        </w:tc>
      </w:tr>
      <w:tr w14:paraId="1A15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noWrap w:val="0"/>
            <w:vAlign w:val="center"/>
          </w:tcPr>
          <w:p w14:paraId="081BFF44">
            <w:pPr>
              <w:jc w:val="center"/>
              <w:rPr>
                <w:rFonts w:hint="eastAsia" w:ascii="宋体" w:hAnsi="宋体" w:cs="Times New Roman"/>
                <w:color w:val="000000"/>
                <w:sz w:val="24"/>
                <w:szCs w:val="24"/>
              </w:rPr>
            </w:pPr>
            <w:r>
              <w:rPr>
                <w:rFonts w:hint="eastAsia" w:ascii="宋体" w:hAnsi="宋体" w:cs="Times New Roman"/>
                <w:color w:val="000000"/>
                <w:sz w:val="24"/>
                <w:szCs w:val="24"/>
              </w:rPr>
              <w:t>2</w:t>
            </w:r>
          </w:p>
        </w:tc>
        <w:tc>
          <w:tcPr>
            <w:tcW w:w="3203" w:type="dxa"/>
            <w:noWrap w:val="0"/>
            <w:vAlign w:val="center"/>
          </w:tcPr>
          <w:p w14:paraId="492B23B6">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Times New Roman" w:hAnsi="Times New Roman" w:eastAsia="宋体" w:cs="宋体"/>
                <w:kern w:val="2"/>
                <w:sz w:val="24"/>
                <w:szCs w:val="24"/>
                <w:lang w:val="en-US" w:eastAsia="zh-Hans" w:bidi="ar-SA"/>
              </w:rPr>
            </w:pPr>
            <w:r>
              <w:rPr>
                <w:rFonts w:hint="eastAsia" w:ascii="Times New Roman" w:hAnsi="Times New Roman" w:eastAsia="宋体" w:cs="宋体"/>
                <w:kern w:val="2"/>
                <w:sz w:val="24"/>
                <w:szCs w:val="24"/>
                <w:lang w:val="en-US" w:eastAsia="zh-Hans" w:bidi="ar-SA"/>
              </w:rPr>
              <w:t>劳动与国民经济可持续发展</w:t>
            </w:r>
          </w:p>
          <w:p w14:paraId="74A63775">
            <w:pPr>
              <w:jc w:val="center"/>
              <w:rPr>
                <w:rFonts w:hint="eastAsia" w:ascii="宋体" w:hAnsi="宋体" w:cs="Times New Roman"/>
                <w:color w:val="000000"/>
                <w:sz w:val="24"/>
                <w:szCs w:val="24"/>
              </w:rPr>
            </w:pPr>
          </w:p>
        </w:tc>
        <w:tc>
          <w:tcPr>
            <w:tcW w:w="2737" w:type="dxa"/>
            <w:vMerge w:val="continue"/>
            <w:noWrap w:val="0"/>
            <w:vAlign w:val="center"/>
          </w:tcPr>
          <w:p w14:paraId="7EA6F626">
            <w:pPr>
              <w:jc w:val="center"/>
              <w:rPr>
                <w:rFonts w:hint="eastAsia" w:ascii="宋体" w:hAnsi="宋体"/>
                <w:color w:val="000000"/>
              </w:rPr>
            </w:pPr>
          </w:p>
        </w:tc>
        <w:tc>
          <w:tcPr>
            <w:tcW w:w="1800" w:type="dxa"/>
            <w:vMerge w:val="continue"/>
            <w:noWrap w:val="0"/>
            <w:vAlign w:val="center"/>
          </w:tcPr>
          <w:p w14:paraId="7BF4739A">
            <w:pPr>
              <w:jc w:val="center"/>
              <w:rPr>
                <w:rFonts w:hint="eastAsia" w:ascii="宋体" w:hAnsi="宋体"/>
                <w:color w:val="000000"/>
              </w:rPr>
            </w:pPr>
          </w:p>
        </w:tc>
      </w:tr>
      <w:tr w14:paraId="112C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noWrap w:val="0"/>
            <w:vAlign w:val="center"/>
          </w:tcPr>
          <w:p w14:paraId="0E0DD3AB">
            <w:pPr>
              <w:jc w:val="center"/>
              <w:rPr>
                <w:rFonts w:hint="eastAsia" w:ascii="宋体" w:hAnsi="宋体"/>
                <w:color w:val="000000"/>
                <w:sz w:val="24"/>
                <w:szCs w:val="24"/>
              </w:rPr>
            </w:pPr>
            <w:r>
              <w:rPr>
                <w:rFonts w:hint="eastAsia" w:ascii="宋体" w:hAnsi="宋体"/>
                <w:color w:val="000000"/>
                <w:sz w:val="24"/>
                <w:szCs w:val="24"/>
              </w:rPr>
              <w:t>3</w:t>
            </w:r>
          </w:p>
        </w:tc>
        <w:tc>
          <w:tcPr>
            <w:tcW w:w="3203" w:type="dxa"/>
            <w:noWrap w:val="0"/>
            <w:vAlign w:val="center"/>
          </w:tcPr>
          <w:p w14:paraId="6EA37574">
            <w:pPr>
              <w:jc w:val="left"/>
              <w:rPr>
                <w:rFonts w:hint="eastAsia" w:ascii="宋体" w:hAnsi="宋体"/>
                <w:color w:val="000000"/>
                <w:sz w:val="24"/>
                <w:szCs w:val="22"/>
              </w:rPr>
            </w:pPr>
            <w:r>
              <w:rPr>
                <w:rFonts w:hint="eastAsia" w:ascii="宋体" w:hAnsi="宋体"/>
                <w:color w:val="000000"/>
                <w:sz w:val="24"/>
                <w:szCs w:val="22"/>
              </w:rPr>
              <w:t>国民经济运行与政策</w:t>
            </w:r>
          </w:p>
        </w:tc>
        <w:tc>
          <w:tcPr>
            <w:tcW w:w="2737" w:type="dxa"/>
            <w:vMerge w:val="continue"/>
            <w:noWrap w:val="0"/>
            <w:vAlign w:val="center"/>
          </w:tcPr>
          <w:p w14:paraId="7FACD745">
            <w:pPr>
              <w:jc w:val="center"/>
              <w:rPr>
                <w:rFonts w:hint="eastAsia" w:ascii="宋体" w:hAnsi="宋体"/>
                <w:color w:val="000000"/>
              </w:rPr>
            </w:pPr>
          </w:p>
        </w:tc>
        <w:tc>
          <w:tcPr>
            <w:tcW w:w="1800" w:type="dxa"/>
            <w:vMerge w:val="continue"/>
            <w:noWrap w:val="0"/>
            <w:vAlign w:val="center"/>
          </w:tcPr>
          <w:p w14:paraId="62DBCC9D">
            <w:pPr>
              <w:jc w:val="center"/>
              <w:rPr>
                <w:rFonts w:hint="eastAsia" w:ascii="宋体" w:hAnsi="宋体"/>
                <w:color w:val="000000"/>
              </w:rPr>
            </w:pPr>
          </w:p>
        </w:tc>
      </w:tr>
    </w:tbl>
    <w:p w14:paraId="3B930513">
      <w:pPr>
        <w:adjustRightInd w:val="0"/>
        <w:snapToGrid w:val="0"/>
        <w:rPr>
          <w:rFonts w:hint="eastAsia"/>
          <w:b/>
          <w:bCs/>
        </w:rPr>
      </w:pPr>
      <w:r>
        <w:rPr>
          <w:rFonts w:hint="eastAsia"/>
          <w:b/>
          <w:bCs/>
        </w:rPr>
        <w:t>▲</w:t>
      </w:r>
      <w:r>
        <w:rPr>
          <w:rFonts w:hint="eastAsia" w:ascii="仿宋_GB2312" w:hAnsi="宋体" w:eastAsia="仿宋_GB2312"/>
          <w:b/>
          <w:bCs/>
          <w:color w:val="000000"/>
          <w:sz w:val="24"/>
        </w:rPr>
        <w:t>表示统考科目或联考科目，考试题型、考试大纲以教育部公布为准。其他为自命题科目。</w:t>
      </w:r>
    </w:p>
    <w:p w14:paraId="0185B527">
      <w:pPr>
        <w:snapToGrid w:val="0"/>
        <w:rPr>
          <w:rFonts w:hint="eastAsia" w:eastAsia="黑体"/>
          <w:b/>
          <w:sz w:val="24"/>
        </w:rPr>
      </w:pPr>
    </w:p>
    <w:p w14:paraId="5EB5F14A">
      <w:pPr>
        <w:snapToGrid w:val="0"/>
        <w:rPr>
          <w:rFonts w:hint="eastAsia" w:ascii="宋体" w:hAnsi="宋体" w:cs="宋体"/>
          <w:b/>
          <w:sz w:val="24"/>
        </w:rPr>
      </w:pPr>
      <w:r>
        <w:rPr>
          <w:rFonts w:hint="eastAsia" w:ascii="宋体" w:hAnsi="宋体" w:cs="宋体"/>
          <w:b/>
          <w:sz w:val="24"/>
        </w:rPr>
        <w:t>考试题型及相应分值：</w:t>
      </w:r>
    </w:p>
    <w:p w14:paraId="336770DC">
      <w:pPr>
        <w:widowControl/>
        <w:snapToGrid w:val="0"/>
        <w:outlineLvl w:val="0"/>
        <w:rPr>
          <w:rFonts w:hint="eastAsia" w:ascii="宋体" w:hAnsi="宋体" w:cs="宋体"/>
          <w:b/>
          <w:color w:val="000000"/>
          <w:kern w:val="0"/>
          <w:sz w:val="24"/>
        </w:rPr>
      </w:pPr>
      <w:r>
        <w:rPr>
          <w:rFonts w:hint="eastAsia" w:ascii="宋体" w:hAnsi="宋体" w:cs="宋体"/>
          <w:b/>
          <w:color w:val="000000"/>
          <w:kern w:val="0"/>
          <w:sz w:val="24"/>
        </w:rPr>
        <w:t>《经济学基础》</w:t>
      </w:r>
    </w:p>
    <w:p w14:paraId="24560DDA">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一、</w:t>
      </w:r>
      <w:r>
        <w:rPr>
          <w:rFonts w:hint="eastAsia" w:ascii="宋体" w:hAnsi="宋体" w:cs="宋体"/>
          <w:color w:val="000000"/>
          <w:sz w:val="24"/>
          <w:szCs w:val="24"/>
          <w:shd w:val="clear" w:color="auto" w:fill="FFFFFF"/>
        </w:rPr>
        <w:t>名词解释（6题，每题5分，共30分）</w:t>
      </w:r>
    </w:p>
    <w:p w14:paraId="5B451B38">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二、</w:t>
      </w:r>
      <w:r>
        <w:rPr>
          <w:rFonts w:hint="eastAsia" w:ascii="宋体" w:hAnsi="宋体" w:cs="宋体"/>
          <w:color w:val="000000"/>
          <w:sz w:val="24"/>
          <w:szCs w:val="24"/>
          <w:shd w:val="clear" w:color="auto" w:fill="FFFFFF"/>
        </w:rPr>
        <w:t>简答题（6题，每题10分，共60分）</w:t>
      </w:r>
    </w:p>
    <w:p w14:paraId="2A3C4383">
      <w:pPr>
        <w:shd w:val="solid" w:color="FFFFFF" w:fill="auto"/>
        <w:autoSpaceDN w:val="0"/>
        <w:adjustRightInd w:val="0"/>
        <w:snapToGrid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lang w:val="en-US" w:eastAsia="zh-CN"/>
        </w:rPr>
        <w:t>三、</w:t>
      </w:r>
      <w:r>
        <w:rPr>
          <w:rFonts w:hint="eastAsia" w:ascii="宋体" w:hAnsi="宋体" w:cs="宋体"/>
          <w:color w:val="000000"/>
          <w:sz w:val="24"/>
          <w:szCs w:val="24"/>
          <w:shd w:val="clear" w:color="auto" w:fill="FFFFFF"/>
        </w:rPr>
        <w:t>论述题（2题，每题30分，共60分）</w:t>
      </w:r>
    </w:p>
    <w:p w14:paraId="66333696">
      <w:pPr>
        <w:shd w:val="solid" w:color="FFFFFF" w:fill="auto"/>
        <w:autoSpaceDN w:val="0"/>
        <w:adjustRightInd w:val="0"/>
        <w:snapToGrid w:val="0"/>
        <w:rPr>
          <w:rFonts w:hint="eastAsia" w:ascii="宋体" w:hAnsi="宋体" w:cs="宋体"/>
          <w:color w:val="000000"/>
          <w:sz w:val="24"/>
          <w:szCs w:val="24"/>
          <w:shd w:val="clear" w:color="auto" w:fill="FFFFFF"/>
        </w:rPr>
      </w:pPr>
    </w:p>
    <w:p w14:paraId="1EA320CF">
      <w:pPr>
        <w:shd w:val="solid" w:color="FFFFFF" w:fill="auto"/>
        <w:autoSpaceDN w:val="0"/>
        <w:adjustRightInd w:val="0"/>
        <w:snapToGrid w:val="0"/>
        <w:rPr>
          <w:rFonts w:hint="eastAsia" w:ascii="宋体" w:hAnsi="宋体" w:eastAsia="宋体" w:cs="宋体"/>
          <w:sz w:val="24"/>
          <w:szCs w:val="24"/>
          <w:shd w:val="clear" w:color="auto" w:fill="FFFFFF"/>
          <w:lang w:eastAsia="zh-CN"/>
        </w:rPr>
      </w:pPr>
      <w:r>
        <w:rPr>
          <w:rFonts w:hint="eastAsia" w:ascii="宋体" w:hAnsi="宋体" w:cs="宋体"/>
          <w:color w:val="000000"/>
          <w:sz w:val="24"/>
          <w:szCs w:val="24"/>
          <w:shd w:val="clear" w:color="auto" w:fill="FFFFFF"/>
        </w:rPr>
        <w:t>参考书目：</w:t>
      </w:r>
      <w:r>
        <w:rPr>
          <w:rFonts w:hint="eastAsia" w:ascii="宋体" w:hAnsi="宋体" w:cs="宋体"/>
          <w:sz w:val="24"/>
          <w:szCs w:val="24"/>
          <w:shd w:val="clear" w:color="auto" w:fill="FFFFFF"/>
        </w:rPr>
        <w:t>高鸿业：《西方经济学</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宏/微观</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rPr>
        <w:t>》第</w:t>
      </w:r>
      <w:r>
        <w:rPr>
          <w:rFonts w:hint="eastAsia" w:ascii="宋体" w:hAnsi="宋体" w:cs="宋体"/>
          <w:sz w:val="24"/>
          <w:szCs w:val="24"/>
          <w:shd w:val="clear" w:color="auto" w:fill="FFFFFF"/>
          <w:lang w:val="en-US" w:eastAsia="zh-CN"/>
        </w:rPr>
        <w:t>8</w:t>
      </w:r>
      <w:r>
        <w:rPr>
          <w:rFonts w:hint="eastAsia" w:ascii="宋体" w:hAnsi="宋体" w:cs="宋体"/>
          <w:sz w:val="24"/>
          <w:szCs w:val="24"/>
          <w:shd w:val="clear" w:color="auto" w:fill="FFFFFF"/>
        </w:rPr>
        <w:t>版 ，中国人民大学出版社2</w:t>
      </w:r>
      <w:r>
        <w:rPr>
          <w:rFonts w:hint="eastAsia" w:ascii="宋体" w:hAnsi="宋体" w:cs="宋体"/>
          <w:sz w:val="24"/>
          <w:szCs w:val="24"/>
          <w:shd w:val="clear" w:color="auto" w:fill="FFFFFF"/>
          <w:lang w:val="en-US" w:eastAsia="zh-CN"/>
        </w:rPr>
        <w:t>021</w:t>
      </w:r>
      <w:r>
        <w:rPr>
          <w:rFonts w:hint="eastAsia" w:ascii="宋体" w:hAnsi="宋体" w:cs="宋体"/>
          <w:sz w:val="24"/>
          <w:szCs w:val="24"/>
          <w:shd w:val="clear" w:color="auto" w:fill="FFFFFF"/>
        </w:rPr>
        <w:t>年</w:t>
      </w:r>
      <w:r>
        <w:rPr>
          <w:rFonts w:hint="eastAsia" w:ascii="宋体" w:hAnsi="宋体" w:cs="宋体"/>
          <w:sz w:val="24"/>
          <w:szCs w:val="24"/>
          <w:shd w:val="clear" w:color="auto" w:fill="FFFFFF"/>
          <w:lang w:eastAsia="zh-CN"/>
        </w:rPr>
        <w:t>。</w:t>
      </w:r>
    </w:p>
    <w:p w14:paraId="56A34346">
      <w:pPr>
        <w:shd w:val="solid" w:color="FFFFFF" w:fill="auto"/>
        <w:autoSpaceDN w:val="0"/>
        <w:adjustRightInd w:val="0"/>
        <w:snapToGrid w:val="0"/>
        <w:rPr>
          <w:rFonts w:hint="eastAsia" w:ascii="宋体" w:hAnsi="宋体" w:cs="宋体"/>
          <w:color w:val="000000"/>
          <w:sz w:val="24"/>
          <w:szCs w:val="24"/>
          <w:shd w:val="clear" w:color="auto" w:fill="FFFFFF"/>
        </w:rPr>
      </w:pPr>
      <w:bookmarkStart w:id="0" w:name="_GoBack"/>
      <w:bookmarkEnd w:id="0"/>
    </w:p>
    <w:p w14:paraId="2DD74227">
      <w:pPr>
        <w:rPr>
          <w:rFonts w:hint="eastAsia" w:ascii="宋体" w:hAnsi="宋体" w:cs="宋体"/>
          <w:b/>
          <w:color w:val="000000"/>
          <w:sz w:val="24"/>
        </w:rPr>
      </w:pPr>
      <w:r>
        <w:rPr>
          <w:rFonts w:hint="eastAsia" w:ascii="宋体" w:hAnsi="宋体" w:cs="宋体"/>
          <w:b/>
          <w:sz w:val="24"/>
        </w:rPr>
        <w:t>《财政与金融》</w:t>
      </w:r>
    </w:p>
    <w:p w14:paraId="16D0814F">
      <w:pPr>
        <w:adjustRightInd w:val="0"/>
        <w:snapToGrid w:val="0"/>
        <w:ind w:firstLine="120" w:firstLineChars="50"/>
        <w:jc w:val="left"/>
        <w:rPr>
          <w:rFonts w:hint="eastAsia" w:ascii="宋体" w:hAnsi="宋体" w:cs="宋体"/>
          <w:sz w:val="24"/>
        </w:rPr>
      </w:pPr>
      <w:r>
        <w:rPr>
          <w:rFonts w:hint="eastAsia" w:ascii="宋体" w:hAnsi="宋体" w:cs="宋体"/>
          <w:sz w:val="24"/>
          <w:lang w:val="en-US" w:eastAsia="zh-CN"/>
        </w:rPr>
        <w:t>一、</w:t>
      </w:r>
      <w:r>
        <w:rPr>
          <w:rFonts w:hint="eastAsia" w:ascii="宋体" w:hAnsi="宋体" w:cs="宋体"/>
          <w:sz w:val="24"/>
        </w:rPr>
        <w:t>问答题（5题，每题10分，共50分）</w:t>
      </w:r>
    </w:p>
    <w:p w14:paraId="00F35DFD">
      <w:pPr>
        <w:adjustRightInd w:val="0"/>
        <w:snapToGrid w:val="0"/>
        <w:ind w:firstLine="120" w:firstLineChars="50"/>
        <w:jc w:val="left"/>
        <w:rPr>
          <w:rFonts w:hint="eastAsia" w:ascii="宋体" w:hAnsi="宋体"/>
          <w:sz w:val="24"/>
        </w:rPr>
      </w:pPr>
      <w:r>
        <w:rPr>
          <w:rFonts w:hint="eastAsia" w:ascii="宋体" w:hAnsi="宋体" w:cs="宋体"/>
          <w:sz w:val="24"/>
          <w:lang w:val="en-US" w:eastAsia="zh-CN"/>
        </w:rPr>
        <w:t>二、</w:t>
      </w:r>
      <w:r>
        <w:rPr>
          <w:rFonts w:hint="eastAsia" w:ascii="宋体" w:hAnsi="宋体" w:cs="宋体"/>
          <w:sz w:val="24"/>
        </w:rPr>
        <w:t>论述题（2题，每题25分，共50分）</w:t>
      </w:r>
    </w:p>
    <w:p w14:paraId="6C22B9C3">
      <w:pPr>
        <w:adjustRightInd w:val="0"/>
        <w:snapToGrid w:val="0"/>
        <w:rPr>
          <w:rFonts w:hint="eastAsia" w:ascii="宋体" w:hAnsi="宋体"/>
          <w:b/>
          <w:sz w:val="24"/>
        </w:rPr>
      </w:pPr>
    </w:p>
    <w:p w14:paraId="3B6B7143">
      <w:pPr>
        <w:adjustRightInd w:val="0"/>
        <w:snapToGrid w:val="0"/>
        <w:rPr>
          <w:rFonts w:hint="eastAsia" w:ascii="宋体" w:hAnsi="宋体"/>
          <w:b/>
          <w:sz w:val="24"/>
        </w:rPr>
      </w:pPr>
    </w:p>
    <w:p w14:paraId="06210AA1">
      <w:pPr>
        <w:adjustRightInd w:val="0"/>
        <w:snapToGrid w:val="0"/>
        <w:rPr>
          <w:rFonts w:hint="eastAsia" w:ascii="宋体" w:hAnsi="宋体"/>
          <w:b/>
          <w:sz w:val="24"/>
        </w:rPr>
      </w:pPr>
    </w:p>
    <w:p w14:paraId="6E74C3DF">
      <w:pPr>
        <w:adjustRightInd w:val="0"/>
        <w:snapToGrid w:val="0"/>
        <w:rPr>
          <w:rFonts w:hint="eastAsia" w:ascii="宋体" w:hAnsi="宋体"/>
          <w:b/>
          <w:sz w:val="24"/>
        </w:rPr>
      </w:pPr>
      <w:r>
        <w:rPr>
          <w:rFonts w:hint="eastAsia" w:ascii="宋体" w:hAnsi="宋体"/>
          <w:b/>
          <w:sz w:val="24"/>
        </w:rPr>
        <w:t>考试大纲</w:t>
      </w:r>
    </w:p>
    <w:p w14:paraId="0819C1CA">
      <w:pPr>
        <w:adjustRightInd w:val="0"/>
        <w:snapToGrid w:val="0"/>
        <w:jc w:val="center"/>
        <w:rPr>
          <w:rFonts w:ascii="宋体" w:hAnsi="宋体" w:cs="宋体"/>
          <w:b/>
          <w:bCs/>
          <w:kern w:val="0"/>
          <w:sz w:val="24"/>
          <w:szCs w:val="24"/>
        </w:rPr>
      </w:pPr>
      <w:r>
        <w:rPr>
          <w:rFonts w:hint="eastAsia" w:ascii="宋体" w:hAnsi="宋体" w:cs="宋体"/>
          <w:b/>
          <w:color w:val="000000"/>
          <w:kern w:val="0"/>
          <w:sz w:val="24"/>
          <w:szCs w:val="24"/>
        </w:rPr>
        <w:t xml:space="preserve">    </w:t>
      </w:r>
      <w:r>
        <w:rPr>
          <w:rFonts w:hint="eastAsia" w:ascii="黑体" w:hAnsi="宋体" w:eastAsia="黑体"/>
          <w:b/>
          <w:sz w:val="36"/>
          <w:szCs w:val="21"/>
        </w:rPr>
        <w:t>《经济学基础》</w:t>
      </w:r>
    </w:p>
    <w:p w14:paraId="385AE0F7">
      <w:pPr>
        <w:adjustRightInd w:val="0"/>
        <w:snapToGrid w:val="0"/>
        <w:rPr>
          <w:rFonts w:hint="eastAsia" w:ascii="宋体" w:hAnsi="宋体" w:cs="宋体"/>
          <w:b/>
          <w:color w:val="000000"/>
          <w:kern w:val="0"/>
          <w:sz w:val="24"/>
          <w:szCs w:val="24"/>
        </w:rPr>
      </w:pPr>
    </w:p>
    <w:p w14:paraId="36F0D942">
      <w:pPr>
        <w:adjustRightInd w:val="0"/>
        <w:snapToGrid w:val="0"/>
        <w:rPr>
          <w:rFonts w:ascii="宋体" w:hAnsi="宋体" w:cs="宋体"/>
          <w:b/>
          <w:color w:val="000000"/>
          <w:kern w:val="0"/>
          <w:sz w:val="24"/>
          <w:szCs w:val="24"/>
        </w:rPr>
      </w:pPr>
      <w:r>
        <w:rPr>
          <w:rFonts w:hint="eastAsia" w:ascii="宋体" w:hAnsi="宋体" w:cs="宋体"/>
          <w:b/>
          <w:color w:val="000000"/>
          <w:kern w:val="0"/>
          <w:sz w:val="24"/>
          <w:szCs w:val="24"/>
        </w:rPr>
        <w:t>《经济学基础》考试大纲概述：</w:t>
      </w:r>
    </w:p>
    <w:p w14:paraId="73776519">
      <w:pPr>
        <w:widowControl/>
        <w:snapToGrid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内容主要包括价格理论，消费者行为理论（效用理论），生产理论，成本理论，竞争市场理论，国民收入决定理论，产品与货币市场均衡理论，宏观经济政策分析，失业与通货膨胀理论等。测试学生对微观经济学和宏观经济学的基本原理、基本工具和方法的掌握程度，了解其是否具有初步应用这些基本原理和基本方法分析有关问题的能力。</w:t>
      </w:r>
    </w:p>
    <w:p w14:paraId="4A549D02">
      <w:pPr>
        <w:widowControl/>
        <w:snapToGrid w:val="0"/>
        <w:rPr>
          <w:rFonts w:hint="eastAsia" w:ascii="宋体" w:hAnsi="宋体" w:cs="宋体"/>
          <w:b/>
          <w:bCs/>
          <w:color w:val="000000"/>
          <w:sz w:val="24"/>
          <w:szCs w:val="24"/>
          <w:shd w:val="clear" w:color="auto" w:fill="FFFFFF"/>
        </w:rPr>
      </w:pPr>
    </w:p>
    <w:p w14:paraId="481450C5">
      <w:pPr>
        <w:widowControl/>
        <w:snapToGrid w:val="0"/>
        <w:rPr>
          <w:rFonts w:hint="eastAsia" w:ascii="宋体" w:hAnsi="宋体" w:cs="宋体"/>
          <w:color w:val="000000"/>
          <w:sz w:val="24"/>
          <w:szCs w:val="24"/>
          <w:shd w:val="clear" w:color="auto" w:fill="FFFFFF"/>
        </w:rPr>
      </w:pPr>
      <w:r>
        <w:rPr>
          <w:rFonts w:hint="eastAsia" w:ascii="宋体" w:hAnsi="宋体" w:cs="宋体"/>
          <w:b/>
          <w:bCs/>
          <w:color w:val="000000"/>
          <w:sz w:val="24"/>
          <w:szCs w:val="24"/>
          <w:shd w:val="clear" w:color="auto" w:fill="FFFFFF"/>
        </w:rPr>
        <w:t>第一部分  微观经济理论</w:t>
      </w:r>
    </w:p>
    <w:p w14:paraId="75E2EB29">
      <w:pPr>
        <w:widowControl/>
        <w:snapToGrid w:val="0"/>
        <w:outlineLvl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一、需求、供给与价格理论</w:t>
      </w:r>
    </w:p>
    <w:p w14:paraId="7E73BF32">
      <w:pPr>
        <w:numPr>
          <w:ilvl w:val="0"/>
          <w:numId w:val="1"/>
        </w:numPr>
        <w:shd w:val="solid" w:color="FFFFFF" w:fill="auto"/>
        <w:autoSpaceDN w:val="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需求理论</w:t>
      </w:r>
    </w:p>
    <w:p w14:paraId="6F7C661A">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pacing w:val="-13"/>
          <w:sz w:val="24"/>
          <w:szCs w:val="24"/>
          <w:shd w:val="clear" w:color="auto" w:fill="FFFFFF"/>
        </w:rPr>
        <w:t xml:space="preserve">     </w:t>
      </w:r>
      <w:r>
        <w:rPr>
          <w:rFonts w:hint="eastAsia" w:ascii="宋体" w:hAnsi="宋体" w:cs="宋体"/>
          <w:color w:val="000000"/>
          <w:sz w:val="24"/>
          <w:szCs w:val="24"/>
          <w:shd w:val="clear" w:color="auto" w:fill="FFFFFF"/>
        </w:rPr>
        <w:t>需求、需求表、需求曲线与需求规律      影响需求的因素：需求函数</w:t>
      </w:r>
    </w:p>
    <w:p w14:paraId="346647F6">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需求定理                              需求量的变动与需求的变动</w:t>
      </w:r>
    </w:p>
    <w:p w14:paraId="31E083B0">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供给理论</w:t>
      </w:r>
    </w:p>
    <w:p w14:paraId="5047049B">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pacing w:val="-13"/>
          <w:sz w:val="24"/>
          <w:szCs w:val="24"/>
          <w:shd w:val="clear" w:color="auto" w:fill="FFFFFF"/>
        </w:rPr>
        <w:t xml:space="preserve">    </w:t>
      </w:r>
      <w:r>
        <w:rPr>
          <w:rFonts w:hint="eastAsia" w:ascii="宋体" w:hAnsi="宋体" w:cs="宋体"/>
          <w:color w:val="000000"/>
          <w:sz w:val="24"/>
          <w:szCs w:val="24"/>
          <w:shd w:val="clear" w:color="auto" w:fill="FFFFFF"/>
        </w:rPr>
        <w:t xml:space="preserve"> 供给、供给表、供给曲线                影响供给的因素：供给函数</w:t>
      </w:r>
    </w:p>
    <w:p w14:paraId="16F64296">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供给定理                              供给量的变动与供给的变动</w:t>
      </w:r>
    </w:p>
    <w:p w14:paraId="733A168D">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价格的决定</w:t>
      </w:r>
    </w:p>
    <w:p w14:paraId="767C3CE3">
      <w:pPr>
        <w:shd w:val="solid" w:color="FFFFFF" w:fill="auto"/>
        <w:autoSpaceDN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均衡价格含义及形成                    需求与供给变动对均衡的影响</w:t>
      </w:r>
    </w:p>
    <w:p w14:paraId="39507860">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需求价格弹性</w:t>
      </w:r>
    </w:p>
    <w:p w14:paraId="5E08A6E7">
      <w:pPr>
        <w:shd w:val="solid" w:color="FFFFFF" w:fill="auto"/>
        <w:autoSpaceDN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需求价格弹性的含义与分类              影响需求弹性的因素</w:t>
      </w:r>
    </w:p>
    <w:p w14:paraId="0E8A2DBD">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弹性理论的运用：需求弹性与总收益</w:t>
      </w:r>
    </w:p>
    <w:p w14:paraId="57A18C0B">
      <w:pPr>
        <w:shd w:val="solid" w:color="FFFFFF" w:fill="auto"/>
        <w:autoSpaceDN w:val="0"/>
        <w:outlineLvl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二、消费者行为理论（效用理论）</w:t>
      </w:r>
    </w:p>
    <w:p w14:paraId="6B036BF6">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效用</w:t>
      </w:r>
    </w:p>
    <w:p w14:paraId="204524E0">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基数效用论与序数效用论     总效用与边际效用      边际效用递减规律</w:t>
      </w:r>
    </w:p>
    <w:p w14:paraId="6E04E412">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序数效用论</w:t>
      </w:r>
    </w:p>
    <w:p w14:paraId="2DAF8C4D">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无差异曲线及特征           消费可能线（预算线）   消费者均衡</w:t>
      </w:r>
    </w:p>
    <w:p w14:paraId="60154550">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消费者行为理论的运用</w:t>
      </w:r>
    </w:p>
    <w:p w14:paraId="45750C2F">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消费者剩余                    消费者行为与需求定理</w:t>
      </w:r>
    </w:p>
    <w:p w14:paraId="799F200B">
      <w:pPr>
        <w:shd w:val="solid" w:color="FFFFFF" w:fill="auto"/>
        <w:autoSpaceDN w:val="0"/>
        <w:outlineLvl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三、生产理论</w:t>
      </w:r>
    </w:p>
    <w:p w14:paraId="16966560">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生产要素与生产函数</w:t>
      </w:r>
    </w:p>
    <w:p w14:paraId="5AE618A4">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边际收益递减规律</w:t>
      </w:r>
    </w:p>
    <w:p w14:paraId="3281532E">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总产量、平均产量、边际产量的关系</w:t>
      </w:r>
    </w:p>
    <w:p w14:paraId="075CE1D6">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等产量线与等成本线</w:t>
      </w:r>
    </w:p>
    <w:p w14:paraId="6F769951">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规模报酬</w:t>
      </w:r>
    </w:p>
    <w:p w14:paraId="3B7BE611">
      <w:pPr>
        <w:shd w:val="solid" w:color="FFFFFF" w:fill="auto"/>
        <w:autoSpaceDN w:val="0"/>
        <w:outlineLvl w:val="0"/>
        <w:rPr>
          <w:rFonts w:hint="eastAsia"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四、成本与收益理论</w:t>
      </w:r>
    </w:p>
    <w:p w14:paraId="1288254D">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成本</w:t>
      </w:r>
    </w:p>
    <w:p w14:paraId="353023DA">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会计成本与机会成本             机会成本在企业决策中的作用</w:t>
      </w:r>
    </w:p>
    <w:p w14:paraId="08EFB79D">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短期成本</w:t>
      </w:r>
    </w:p>
    <w:p w14:paraId="0028AB35">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短期成本的分类                 各类短期成本的变动规律及其关系</w:t>
      </w:r>
    </w:p>
    <w:p w14:paraId="225D1426">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长期成本</w:t>
      </w:r>
    </w:p>
    <w:p w14:paraId="66806672">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长期总成本                     长期平均成本          长期边际成本</w:t>
      </w:r>
    </w:p>
    <w:p w14:paraId="715D705D">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收益与利润最大化</w:t>
      </w:r>
    </w:p>
    <w:p w14:paraId="045CE9F7">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总收益、平均收益与边际收益     利润最大化原则</w:t>
      </w:r>
    </w:p>
    <w:p w14:paraId="5D65B01F">
      <w:pPr>
        <w:shd w:val="solid" w:color="FFFFFF" w:fill="auto"/>
        <w:autoSpaceDN w:val="0"/>
        <w:outlineLvl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五、竞争市场理论</w:t>
      </w:r>
    </w:p>
    <w:p w14:paraId="599CCBEF">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市场结构</w:t>
      </w:r>
    </w:p>
    <w:p w14:paraId="1AE39F11">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市场结构类型                   市场结构与企业行为的关系</w:t>
      </w:r>
    </w:p>
    <w:p w14:paraId="27BEF8E6">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完全竞争市场</w:t>
      </w:r>
    </w:p>
    <w:p w14:paraId="08158404">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完全竞争市场含义与特征     完全竞争市场需求曲线、平均收益与边际收益</w:t>
      </w:r>
    </w:p>
    <w:p w14:paraId="5A04DBEB">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利润最大化的基本原则       完全竞争市场上的短期均衡与长期均衡</w:t>
      </w:r>
    </w:p>
    <w:p w14:paraId="6539AA52">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非完全竞争市场</w:t>
      </w:r>
    </w:p>
    <w:p w14:paraId="5E6974EF">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完全垄断、垄断竞争和寡头垄断市场的条件及其特征</w:t>
      </w:r>
    </w:p>
    <w:p w14:paraId="0E7A0B45">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完全垄断厂商的需求曲线、平均收益与边际收益</w:t>
      </w:r>
    </w:p>
    <w:p w14:paraId="18108F16">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垄断市场上的短期均衡与长期均衡（了解）</w:t>
      </w:r>
    </w:p>
    <w:p w14:paraId="11B3CBEC">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垄断竞争与完全竞争的比较</w:t>
      </w:r>
    </w:p>
    <w:p w14:paraId="2A216FF1">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垄断竞争市场上的产品差别竞争    </w:t>
      </w:r>
    </w:p>
    <w:p w14:paraId="6448AD35">
      <w:pPr>
        <w:shd w:val="solid" w:color="FFFFFF" w:fill="auto"/>
        <w:autoSpaceDN w:val="0"/>
        <w:rPr>
          <w:rFonts w:hint="eastAsia" w:ascii="宋体" w:hAnsi="宋体" w:cs="宋体"/>
          <w:b/>
          <w:bCs/>
          <w:color w:val="000000"/>
          <w:sz w:val="24"/>
          <w:szCs w:val="24"/>
          <w:shd w:val="clear" w:color="auto" w:fill="FFFFFF"/>
        </w:rPr>
      </w:pPr>
    </w:p>
    <w:p w14:paraId="57443B6A">
      <w:p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b/>
          <w:bCs/>
          <w:color w:val="000000"/>
          <w:sz w:val="24"/>
          <w:szCs w:val="24"/>
          <w:shd w:val="clear" w:color="auto" w:fill="FFFFFF"/>
        </w:rPr>
        <w:t>第二部分  宏观经济理论</w:t>
      </w:r>
    </w:p>
    <w:p w14:paraId="2F3C0442">
      <w:pPr>
        <w:shd w:val="solid" w:color="FFFFFF" w:fill="auto"/>
        <w:autoSpaceDN w:val="0"/>
        <w:outlineLvl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一、国民收入决定理论</w:t>
      </w:r>
    </w:p>
    <w:p w14:paraId="68CA144D">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w:t>
      </w:r>
    </w:p>
    <w:p w14:paraId="09E10026">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国内生产总值的含义                       </w:t>
      </w:r>
    </w:p>
    <w:p w14:paraId="26344D7D">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国内生产总值的计算方法</w:t>
      </w:r>
    </w:p>
    <w:p w14:paraId="7CB5C4F1">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实际国内生产总值与名义国内生产总值      </w:t>
      </w:r>
    </w:p>
    <w:p w14:paraId="2C8489B8">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国内生产总值与人均国内生产总值</w:t>
      </w:r>
    </w:p>
    <w:p w14:paraId="08DB6D7D">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消费函数、储蓄函数</w:t>
      </w:r>
    </w:p>
    <w:p w14:paraId="182FC4A7">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乘数理论</w:t>
      </w:r>
    </w:p>
    <w:p w14:paraId="42DC318A">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其他宏观经济指标（了解）</w:t>
      </w:r>
    </w:p>
    <w:p w14:paraId="4B39E48B">
      <w:pPr>
        <w:shd w:val="solid" w:color="FFFFFF" w:fill="auto"/>
        <w:autoSpaceDN w:val="0"/>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物价指数                       失业率</w:t>
      </w:r>
    </w:p>
    <w:p w14:paraId="02A5B588">
      <w:pPr>
        <w:shd w:val="solid" w:color="FFFFFF" w:fill="auto"/>
        <w:autoSpaceDN w:val="0"/>
        <w:outlineLvl w:val="0"/>
        <w:rPr>
          <w:rFonts w:hint="eastAsia"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二、产品市场和货币市场的一般均衡理论</w:t>
      </w:r>
    </w:p>
    <w:p w14:paraId="34004101">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投资的决定</w:t>
      </w:r>
    </w:p>
    <w:p w14:paraId="2C6C4B6A">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实际利率与投资                  边际效率</w:t>
      </w:r>
    </w:p>
    <w:p w14:paraId="639D5466">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投资边际效率曲线                预期收益与投资</w:t>
      </w:r>
    </w:p>
    <w:p w14:paraId="1ED4BA42">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商品市场的均衡（IS）曲线</w:t>
      </w:r>
    </w:p>
    <w:p w14:paraId="20ECB8EC">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货币市场的均衡（LM）曲线</w:t>
      </w:r>
    </w:p>
    <w:p w14:paraId="4C40BD17">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利率的决定</w:t>
      </w:r>
    </w:p>
    <w:p w14:paraId="57CF8B83">
      <w:pPr>
        <w:shd w:val="solid" w:color="FFFFFF" w:fill="auto"/>
        <w:autoSpaceDN w:val="0"/>
        <w:outlineLvl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 xml:space="preserve">三、宏观经济政策分析 </w:t>
      </w:r>
    </w:p>
    <w:p w14:paraId="1CCD742C">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财政政策和货币政策的影响</w:t>
      </w:r>
    </w:p>
    <w:p w14:paraId="483AFB87">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                         货币政策</w:t>
      </w:r>
    </w:p>
    <w:p w14:paraId="2A0CB740">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财政政策和货币政策的影响         财政政策和货币政策的混合使用</w:t>
      </w:r>
    </w:p>
    <w:p w14:paraId="309E429D">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经济政策目标</w:t>
      </w:r>
    </w:p>
    <w:p w14:paraId="45AD1F85">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充分就业                         价格稳定 </w:t>
      </w:r>
    </w:p>
    <w:p w14:paraId="026538B1">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经济持续均衡增长                 国际收支平衡。</w:t>
      </w:r>
    </w:p>
    <w:p w14:paraId="013AE64E">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w:t>
      </w:r>
    </w:p>
    <w:p w14:paraId="314E8649">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财政政策工具                     自动稳定与相机抉择的财政政策</w:t>
      </w:r>
    </w:p>
    <w:p w14:paraId="0887D29D">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功能财政和预算盈余               充分就业预算盈余与财政政策方向</w:t>
      </w:r>
    </w:p>
    <w:p w14:paraId="224D30ED">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货币政策</w:t>
      </w:r>
    </w:p>
    <w:p w14:paraId="27954F71">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商业银行和中央银行               存款创造和货币供给</w:t>
      </w:r>
    </w:p>
    <w:p w14:paraId="09DF7BC2">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债券价格与市场利息率的关系       货币政策及其工具</w:t>
      </w:r>
    </w:p>
    <w:p w14:paraId="3020A9B3">
      <w:pPr>
        <w:shd w:val="solid" w:color="FFFFFF" w:fill="auto"/>
        <w:autoSpaceDN w:val="0"/>
        <w:outlineLvl w:val="0"/>
        <w:rPr>
          <w:rFonts w:hint="eastAsia"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四、失业、通货膨胀理论</w:t>
      </w:r>
    </w:p>
    <w:p w14:paraId="28624F40">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失业理论</w:t>
      </w:r>
    </w:p>
    <w:p w14:paraId="6CDA58C9">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失业的分类                       自然失业率和自然就业率  </w:t>
      </w:r>
    </w:p>
    <w:p w14:paraId="1D6B4324">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失业的影响                       奥肯定律</w:t>
      </w:r>
    </w:p>
    <w:p w14:paraId="4DDC1715">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通货膨胀理论</w:t>
      </w:r>
    </w:p>
    <w:p w14:paraId="1BAA450F">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通货膨胀的含义与分类             通货膨胀对经济的影响  </w:t>
      </w:r>
    </w:p>
    <w:p w14:paraId="3217380A">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通货膨胀的原因                   需求拉动的通货膨胀理论    </w:t>
      </w:r>
    </w:p>
    <w:p w14:paraId="3BA52A08">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供给推动的通货膨胀理论           其他通货膨胀理论</w:t>
      </w:r>
    </w:p>
    <w:p w14:paraId="2FE8A252">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治理通货膨胀的对策</w:t>
      </w:r>
    </w:p>
    <w:p w14:paraId="76403313">
      <w:pPr>
        <w:numPr>
          <w:ilvl w:val="0"/>
          <w:numId w:val="2"/>
        </w:numPr>
        <w:shd w:val="solid" w:color="FFFFFF" w:fill="auto"/>
        <w:autoSpaceDN w:val="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菲利普斯曲线</w:t>
      </w:r>
    </w:p>
    <w:p w14:paraId="1AC15ADD">
      <w:pPr>
        <w:shd w:val="solid" w:color="FFFFFF" w:fill="auto"/>
        <w:autoSpaceDN w:val="0"/>
        <w:ind w:left="42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菲利普斯曲线的提出               菲利普斯曲线的政策含义</w:t>
      </w:r>
    </w:p>
    <w:p w14:paraId="2BFB927E">
      <w:pPr>
        <w:adjustRightInd w:val="0"/>
        <w:snapToGrid w:val="0"/>
        <w:rPr>
          <w:rFonts w:hint="eastAsia" w:ascii="黑体" w:hAnsi="黑体" w:eastAsia="黑体" w:cs="黑体"/>
          <w:b/>
          <w:bCs/>
          <w:kern w:val="0"/>
          <w:sz w:val="36"/>
          <w:szCs w:val="36"/>
        </w:rPr>
      </w:pPr>
    </w:p>
    <w:p w14:paraId="0DD81777">
      <w:pPr>
        <w:adjustRightInd w:val="0"/>
        <w:snapToGrid w:val="0"/>
        <w:jc w:val="center"/>
        <w:rPr>
          <w:rFonts w:hint="eastAsia" w:ascii="黑体" w:hAnsi="宋体" w:eastAsia="黑体"/>
          <w:b/>
          <w:sz w:val="36"/>
          <w:szCs w:val="21"/>
        </w:rPr>
      </w:pPr>
      <w:r>
        <w:rPr>
          <w:rFonts w:hint="eastAsia" w:ascii="黑体" w:hAnsi="宋体" w:eastAsia="黑体"/>
          <w:b/>
          <w:sz w:val="36"/>
          <w:szCs w:val="21"/>
        </w:rPr>
        <w:t>《财政与金融》</w:t>
      </w:r>
    </w:p>
    <w:p w14:paraId="1702E51B">
      <w:pPr>
        <w:adjustRightInd w:val="0"/>
        <w:snapToGrid w:val="0"/>
        <w:ind w:firstLine="120" w:firstLineChars="50"/>
        <w:rPr>
          <w:rFonts w:hint="eastAsia" w:ascii="黑体" w:hAnsi="宋体" w:eastAsia="黑体"/>
          <w:b/>
          <w:color w:val="FF00FF"/>
          <w:sz w:val="32"/>
          <w:szCs w:val="32"/>
        </w:rPr>
      </w:pPr>
      <w:r>
        <w:rPr>
          <w:rFonts w:hint="eastAsia" w:ascii="仿宋_GB2312" w:hAnsi="仿宋_GB2312" w:eastAsia="仿宋_GB2312" w:cs="仿宋_GB2312"/>
          <w:b/>
          <w:color w:val="000000"/>
          <w:kern w:val="0"/>
          <w:sz w:val="24"/>
        </w:rPr>
        <w:t>《财政与金融》考试大纲概述：</w:t>
      </w:r>
    </w:p>
    <w:p w14:paraId="7E59A8C8">
      <w:pPr>
        <w:widowControl/>
        <w:jc w:val="left"/>
        <w:rPr>
          <w:rFonts w:hint="eastAsia" w:ascii="宋体" w:hAnsi="宋体"/>
          <w:color w:val="000000"/>
          <w:sz w:val="24"/>
        </w:rPr>
      </w:pPr>
      <w:r>
        <w:rPr>
          <w:rFonts w:hint="eastAsia" w:ascii="宋体" w:hAnsi="宋体"/>
          <w:color w:val="000000"/>
          <w:sz w:val="24"/>
        </w:rPr>
        <w:t xml:space="preserve">    掌握财政、金融领域的基本知识、基本原理和</w:t>
      </w:r>
      <w:r>
        <w:rPr>
          <w:rFonts w:ascii="宋体" w:hAnsi="宋体"/>
          <w:color w:val="000000"/>
          <w:sz w:val="24"/>
        </w:rPr>
        <w:t>和相关实务。财政部分</w:t>
      </w:r>
      <w:r>
        <w:rPr>
          <w:rFonts w:hint="eastAsia" w:ascii="宋体" w:hAnsi="宋体"/>
          <w:color w:val="000000"/>
          <w:sz w:val="24"/>
        </w:rPr>
        <w:t>需掌握</w:t>
      </w:r>
      <w:r>
        <w:rPr>
          <w:rFonts w:ascii="宋体" w:hAnsi="宋体"/>
          <w:color w:val="000000"/>
          <w:sz w:val="24"/>
        </w:rPr>
        <w:t>财政的产生与发展、公共财政理论、财政的职能与作用、财政支出、财政收入、公债、</w:t>
      </w:r>
      <w:r>
        <w:rPr>
          <w:rFonts w:ascii="宋体" w:hAnsi="宋体"/>
          <w:color w:val="000000"/>
          <w:sz w:val="24"/>
        </w:rPr>
        <w:fldChar w:fldCharType="begin"/>
      </w:r>
      <w:r>
        <w:rPr>
          <w:rFonts w:ascii="宋体" w:hAnsi="宋体"/>
          <w:color w:val="000000"/>
          <w:sz w:val="24"/>
        </w:rPr>
        <w:instrText xml:space="preserve"> HYPERLINK "http://baike.baidu.com/view/7257951.htm" \t "_blank" </w:instrText>
      </w:r>
      <w:r>
        <w:rPr>
          <w:rFonts w:ascii="宋体" w:hAnsi="宋体"/>
          <w:color w:val="000000"/>
          <w:sz w:val="24"/>
        </w:rPr>
        <w:fldChar w:fldCharType="separate"/>
      </w:r>
      <w:r>
        <w:rPr>
          <w:rFonts w:ascii="宋体" w:hAnsi="宋体"/>
          <w:color w:val="000000"/>
          <w:sz w:val="24"/>
        </w:rPr>
        <w:t>国家预算管理</w:t>
      </w:r>
      <w:r>
        <w:rPr>
          <w:rFonts w:ascii="宋体" w:hAnsi="宋体"/>
          <w:color w:val="000000"/>
          <w:sz w:val="24"/>
        </w:rPr>
        <w:fldChar w:fldCharType="end"/>
      </w:r>
      <w:r>
        <w:rPr>
          <w:rFonts w:ascii="宋体" w:hAnsi="宋体"/>
          <w:color w:val="000000"/>
          <w:sz w:val="24"/>
        </w:rPr>
        <w:t>等；金融部分</w:t>
      </w:r>
      <w:r>
        <w:rPr>
          <w:rFonts w:hint="eastAsia" w:ascii="宋体" w:hAnsi="宋体"/>
          <w:color w:val="000000"/>
          <w:sz w:val="24"/>
        </w:rPr>
        <w:t>需掌握</w:t>
      </w:r>
      <w:r>
        <w:rPr>
          <w:rFonts w:ascii="宋体" w:hAnsi="宋体"/>
          <w:color w:val="000000"/>
          <w:sz w:val="24"/>
        </w:rPr>
        <w:fldChar w:fldCharType="begin"/>
      </w:r>
      <w:r>
        <w:rPr>
          <w:rFonts w:ascii="宋体" w:hAnsi="宋体"/>
          <w:color w:val="000000"/>
          <w:sz w:val="24"/>
        </w:rPr>
        <w:instrText xml:space="preserve"> HYPERLINK "http://baike.baidu.com/view/6340339.htm" \t "_blank" </w:instrText>
      </w:r>
      <w:r>
        <w:rPr>
          <w:rFonts w:ascii="宋体" w:hAnsi="宋体"/>
          <w:color w:val="000000"/>
          <w:sz w:val="24"/>
        </w:rPr>
        <w:fldChar w:fldCharType="separate"/>
      </w:r>
      <w:r>
        <w:rPr>
          <w:rFonts w:ascii="宋体" w:hAnsi="宋体"/>
          <w:color w:val="000000"/>
          <w:sz w:val="24"/>
        </w:rPr>
        <w:t>金融基础</w:t>
      </w:r>
      <w:r>
        <w:rPr>
          <w:rFonts w:ascii="宋体" w:hAnsi="宋体"/>
          <w:color w:val="000000"/>
          <w:sz w:val="24"/>
        </w:rPr>
        <w:fldChar w:fldCharType="end"/>
      </w:r>
      <w:r>
        <w:rPr>
          <w:rFonts w:ascii="宋体" w:hAnsi="宋体"/>
          <w:color w:val="000000"/>
          <w:sz w:val="24"/>
        </w:rPr>
        <w:t>、信用、利率、货币的供给与需求、金融机构体系、商业银行、</w:t>
      </w:r>
      <w:r>
        <w:rPr>
          <w:rFonts w:ascii="宋体" w:hAnsi="宋体"/>
          <w:color w:val="000000"/>
          <w:sz w:val="24"/>
        </w:rPr>
        <w:fldChar w:fldCharType="begin"/>
      </w:r>
      <w:r>
        <w:rPr>
          <w:rFonts w:ascii="宋体" w:hAnsi="宋体"/>
          <w:color w:val="000000"/>
          <w:sz w:val="24"/>
        </w:rPr>
        <w:instrText xml:space="preserve"> HYPERLINK "http://baike.baidu.com/view/16681.htm" \t "_blank" </w:instrText>
      </w:r>
      <w:r>
        <w:rPr>
          <w:rFonts w:ascii="宋体" w:hAnsi="宋体"/>
          <w:color w:val="000000"/>
          <w:sz w:val="24"/>
        </w:rPr>
        <w:fldChar w:fldCharType="separate"/>
      </w:r>
      <w:r>
        <w:rPr>
          <w:rFonts w:ascii="宋体" w:hAnsi="宋体"/>
          <w:color w:val="000000"/>
          <w:sz w:val="24"/>
        </w:rPr>
        <w:t>金融市场</w:t>
      </w:r>
      <w:r>
        <w:rPr>
          <w:rFonts w:ascii="宋体" w:hAnsi="宋体"/>
          <w:color w:val="000000"/>
          <w:sz w:val="24"/>
        </w:rPr>
        <w:fldChar w:fldCharType="end"/>
      </w:r>
      <w:r>
        <w:rPr>
          <w:rFonts w:ascii="宋体" w:hAnsi="宋体"/>
          <w:color w:val="000000"/>
          <w:sz w:val="24"/>
        </w:rPr>
        <w:t>、国际金融</w:t>
      </w:r>
      <w:r>
        <w:rPr>
          <w:rFonts w:hint="eastAsia" w:ascii="宋体" w:hAnsi="宋体"/>
          <w:color w:val="000000"/>
          <w:sz w:val="24"/>
        </w:rPr>
        <w:t>、</w:t>
      </w:r>
      <w:r>
        <w:rPr>
          <w:rFonts w:ascii="宋体" w:hAnsi="宋体"/>
          <w:color w:val="000000"/>
          <w:sz w:val="24"/>
        </w:rPr>
        <w:t>财政与金融的宏观调控等问题。</w:t>
      </w:r>
    </w:p>
    <w:p w14:paraId="558E1D00">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一</w:t>
      </w:r>
      <w:r>
        <w:rPr>
          <w:rFonts w:hint="eastAsia" w:ascii="Verdana" w:hAnsi="Verdana"/>
          <w:b/>
          <w:color w:val="333333"/>
          <w:shd w:val="clear" w:color="auto" w:fill="FFFFFF"/>
        </w:rPr>
        <w:t>、财</w:t>
      </w:r>
      <w:r>
        <w:rPr>
          <w:rFonts w:ascii="Verdana" w:hAnsi="Verdana"/>
          <w:b/>
          <w:color w:val="333333"/>
          <w:shd w:val="clear" w:color="auto" w:fill="FFFFFF"/>
        </w:rPr>
        <w:t>政概述</w:t>
      </w:r>
    </w:p>
    <w:p w14:paraId="0F2C5661">
      <w:pPr>
        <w:pStyle w:val="7"/>
        <w:spacing w:before="0" w:beforeAutospacing="0" w:after="0" w:afterAutospacing="0"/>
        <w:rPr>
          <w:rFonts w:hint="eastAsia" w:ascii="Verdana" w:hAnsi="Verdana"/>
          <w:color w:val="333333"/>
          <w:shd w:val="clear" w:color="auto" w:fill="FFFFFF"/>
        </w:rPr>
      </w:pPr>
      <w:r>
        <w:rPr>
          <w:rFonts w:hint="eastAsia" w:ascii="Verdana" w:hAnsi="Verdana"/>
          <w:color w:val="333333"/>
          <w:shd w:val="clear" w:color="auto" w:fill="FFFFFF"/>
        </w:rPr>
        <w:t xml:space="preserve">    </w:t>
      </w:r>
      <w:r>
        <w:rPr>
          <w:rFonts w:ascii="Verdana" w:hAnsi="Verdana"/>
          <w:color w:val="333333"/>
          <w:shd w:val="clear" w:color="auto" w:fill="FFFFFF"/>
        </w:rPr>
        <w:t>财政的产生与发展</w:t>
      </w:r>
    </w:p>
    <w:p w14:paraId="6EFA2E36">
      <w:pPr>
        <w:pStyle w:val="7"/>
        <w:spacing w:before="0" w:beforeAutospacing="0" w:after="0" w:afterAutospacing="0"/>
        <w:rPr>
          <w:rFonts w:hint="eastAsia" w:ascii="Verdana" w:hAnsi="Verdana"/>
          <w:color w:val="333333"/>
          <w:shd w:val="clear" w:color="auto" w:fill="FFFFFF"/>
        </w:rPr>
      </w:pPr>
      <w:r>
        <w:rPr>
          <w:rFonts w:hint="eastAsia" w:ascii="Verdana" w:hAnsi="Verdana"/>
          <w:color w:val="333333"/>
          <w:shd w:val="clear" w:color="auto" w:fill="FFFFFF"/>
        </w:rPr>
        <w:t xml:space="preserve">    </w:t>
      </w:r>
      <w:r>
        <w:rPr>
          <w:rFonts w:ascii="Verdana" w:hAnsi="Verdana"/>
          <w:color w:val="333333"/>
          <w:shd w:val="clear" w:color="auto" w:fill="FFFFFF"/>
        </w:rPr>
        <w:t>公共财政</w:t>
      </w:r>
    </w:p>
    <w:p w14:paraId="2FCF7996">
      <w:pPr>
        <w:pStyle w:val="7"/>
        <w:spacing w:before="0" w:beforeAutospacing="0" w:after="0" w:afterAutospacing="0"/>
        <w:rPr>
          <w:rFonts w:hint="eastAsia" w:ascii="Verdana" w:hAnsi="Verdana"/>
          <w:color w:val="333333"/>
          <w:shd w:val="clear" w:color="auto" w:fill="FFFFFF"/>
        </w:rPr>
      </w:pPr>
      <w:r>
        <w:rPr>
          <w:rFonts w:hint="eastAsia" w:ascii="Verdana" w:hAnsi="Verdana"/>
          <w:color w:val="333333"/>
          <w:shd w:val="clear" w:color="auto" w:fill="FFFFFF"/>
        </w:rPr>
        <w:t xml:space="preserve">    </w:t>
      </w:r>
      <w:r>
        <w:rPr>
          <w:rFonts w:ascii="Verdana" w:hAnsi="Verdana"/>
          <w:color w:val="333333"/>
          <w:shd w:val="clear" w:color="auto" w:fill="FFFFFF"/>
        </w:rPr>
        <w:t>财政的职能</w:t>
      </w:r>
    </w:p>
    <w:p w14:paraId="6D6BA864">
      <w:pPr>
        <w:pStyle w:val="7"/>
        <w:spacing w:before="0" w:beforeAutospacing="0" w:after="0" w:afterAutospacing="0"/>
        <w:outlineLvl w:val="0"/>
        <w:rPr>
          <w:rFonts w:hint="eastAsia" w:ascii="Verdana" w:hAnsi="Verdana"/>
          <w:color w:val="333333"/>
        </w:rPr>
      </w:pPr>
      <w:r>
        <w:rPr>
          <w:rFonts w:ascii="Verdana" w:hAnsi="Verdana"/>
          <w:b/>
          <w:color w:val="333333"/>
          <w:shd w:val="clear" w:color="auto" w:fill="FFFFFF"/>
        </w:rPr>
        <w:t>二</w:t>
      </w:r>
      <w:r>
        <w:rPr>
          <w:rFonts w:hint="eastAsia" w:ascii="Verdana" w:hAnsi="Verdana"/>
          <w:b/>
          <w:color w:val="333333"/>
          <w:shd w:val="clear" w:color="auto" w:fill="FFFFFF"/>
        </w:rPr>
        <w:t>、</w:t>
      </w:r>
      <w:r>
        <w:rPr>
          <w:rFonts w:ascii="Verdana" w:hAnsi="Verdana"/>
          <w:b/>
          <w:color w:val="333333"/>
          <w:shd w:val="clear" w:color="auto" w:fill="FFFFFF"/>
        </w:rPr>
        <w:t>财政支出</w:t>
      </w:r>
      <w:r>
        <w:rPr>
          <w:rFonts w:ascii="Verdana" w:hAnsi="Verdana"/>
          <w:b/>
          <w:color w:val="333333"/>
        </w:rPr>
        <w:br w:type="textWrapping"/>
      </w:r>
      <w:r>
        <w:rPr>
          <w:rFonts w:hint="eastAsia" w:ascii="Verdana" w:hAnsi="Verdana"/>
          <w:color w:val="333333"/>
        </w:rPr>
        <w:t xml:space="preserve">    </w:t>
      </w:r>
      <w:r>
        <w:rPr>
          <w:rFonts w:ascii="Verdana" w:hAnsi="Verdana"/>
          <w:color w:val="333333"/>
          <w:shd w:val="clear" w:color="auto" w:fill="FFFFFF"/>
        </w:rPr>
        <w:t>财政支出的分类与构成</w:t>
      </w:r>
    </w:p>
    <w:p w14:paraId="3F42E743">
      <w:pPr>
        <w:pStyle w:val="7"/>
        <w:spacing w:before="0" w:beforeAutospacing="0" w:after="0" w:afterAutospacing="0"/>
        <w:rPr>
          <w:rFonts w:hint="eastAsia" w:ascii="Verdana" w:hAnsi="Verdana"/>
          <w:color w:val="333333"/>
        </w:rPr>
      </w:pPr>
      <w:r>
        <w:rPr>
          <w:rFonts w:hint="eastAsia" w:ascii="Verdana" w:hAnsi="Verdana"/>
          <w:color w:val="333333"/>
        </w:rPr>
        <w:t xml:space="preserve">    </w:t>
      </w:r>
      <w:r>
        <w:rPr>
          <w:rFonts w:ascii="Verdana" w:hAnsi="Verdana"/>
          <w:color w:val="333333"/>
          <w:shd w:val="clear" w:color="auto" w:fill="FFFFFF"/>
        </w:rPr>
        <w:t>财政支出的基本原则</w:t>
      </w:r>
    </w:p>
    <w:p w14:paraId="5B112A7D">
      <w:pPr>
        <w:pStyle w:val="7"/>
        <w:spacing w:before="0" w:beforeAutospacing="0" w:after="0" w:afterAutospacing="0"/>
        <w:rPr>
          <w:rFonts w:hint="eastAsia" w:ascii="Verdana" w:hAnsi="Verdana"/>
          <w:color w:val="333333"/>
        </w:rPr>
      </w:pPr>
      <w:r>
        <w:rPr>
          <w:rFonts w:hint="eastAsia" w:ascii="Verdana" w:hAnsi="Verdana"/>
          <w:color w:val="333333"/>
        </w:rPr>
        <w:t xml:space="preserve">    </w:t>
      </w:r>
      <w:r>
        <w:rPr>
          <w:rFonts w:ascii="Verdana" w:hAnsi="Verdana"/>
          <w:color w:val="333333"/>
          <w:shd w:val="clear" w:color="auto" w:fill="FFFFFF"/>
        </w:rPr>
        <w:t>购买性支出</w:t>
      </w:r>
    </w:p>
    <w:p w14:paraId="6A2E706B">
      <w:pPr>
        <w:pStyle w:val="7"/>
        <w:spacing w:before="0" w:beforeAutospacing="0" w:after="0" w:afterAutospacing="0"/>
        <w:ind w:firstLine="480"/>
        <w:rPr>
          <w:rFonts w:hint="eastAsia" w:ascii="Verdana" w:hAnsi="Verdana"/>
          <w:color w:val="333333"/>
        </w:rPr>
      </w:pPr>
      <w:r>
        <w:rPr>
          <w:rFonts w:ascii="Verdana" w:hAnsi="Verdana"/>
          <w:color w:val="333333"/>
          <w:shd w:val="clear" w:color="auto" w:fill="FFFFFF"/>
        </w:rPr>
        <w:t>转移性支出</w:t>
      </w:r>
    </w:p>
    <w:p w14:paraId="18E63F3D">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三</w:t>
      </w:r>
      <w:r>
        <w:rPr>
          <w:rFonts w:hint="eastAsia" w:ascii="Verdana" w:hAnsi="Verdana"/>
          <w:b/>
          <w:color w:val="333333"/>
          <w:shd w:val="clear" w:color="auto" w:fill="FFFFFF"/>
        </w:rPr>
        <w:t>、</w:t>
      </w:r>
      <w:r>
        <w:rPr>
          <w:rFonts w:ascii="Verdana" w:hAnsi="Verdana"/>
          <w:b/>
          <w:color w:val="333333"/>
          <w:shd w:val="clear" w:color="auto" w:fill="FFFFFF"/>
        </w:rPr>
        <w:t>财政收入</w:t>
      </w:r>
    </w:p>
    <w:p w14:paraId="452AF643">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财政收入概述</w:t>
      </w:r>
    </w:p>
    <w:p w14:paraId="72B41DA3">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税收收入</w:t>
      </w:r>
    </w:p>
    <w:p w14:paraId="76E8434C">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非税收入</w:t>
      </w:r>
    </w:p>
    <w:p w14:paraId="748271DC">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国际税收</w:t>
      </w:r>
    </w:p>
    <w:p w14:paraId="5BCAA51F">
      <w:pPr>
        <w:pStyle w:val="7"/>
        <w:spacing w:before="0" w:beforeAutospacing="0" w:after="0" w:afterAutospacing="0"/>
        <w:outlineLvl w:val="0"/>
        <w:rPr>
          <w:rFonts w:hint="eastAsia" w:ascii="Verdana" w:hAnsi="Verdana"/>
          <w:color w:val="333333"/>
        </w:rPr>
      </w:pPr>
      <w:r>
        <w:rPr>
          <w:rFonts w:ascii="Verdana" w:hAnsi="Verdana"/>
          <w:b/>
          <w:color w:val="333333"/>
          <w:shd w:val="clear" w:color="auto" w:fill="FFFFFF"/>
        </w:rPr>
        <w:t>四</w:t>
      </w:r>
      <w:r>
        <w:rPr>
          <w:rFonts w:hint="eastAsia" w:ascii="Verdana" w:hAnsi="Verdana"/>
          <w:b/>
          <w:color w:val="333333"/>
          <w:shd w:val="clear" w:color="auto" w:fill="FFFFFF"/>
        </w:rPr>
        <w:t>、</w:t>
      </w:r>
      <w:r>
        <w:rPr>
          <w:rFonts w:ascii="Verdana" w:hAnsi="Verdana"/>
          <w:b/>
          <w:color w:val="333333"/>
          <w:shd w:val="clear" w:color="auto" w:fill="FFFFFF"/>
        </w:rPr>
        <w:t>公债</w:t>
      </w:r>
      <w:r>
        <w:rPr>
          <w:rFonts w:ascii="Verdana" w:hAnsi="Verdana"/>
          <w:b/>
          <w:color w:val="333333"/>
        </w:rPr>
        <w:br w:type="textWrapping"/>
      </w:r>
      <w:r>
        <w:rPr>
          <w:rFonts w:hint="eastAsia" w:ascii="Verdana" w:hAnsi="Verdana"/>
          <w:color w:val="333333"/>
        </w:rPr>
        <w:t xml:space="preserve">    </w:t>
      </w:r>
      <w:r>
        <w:rPr>
          <w:rFonts w:ascii="Verdana" w:hAnsi="Verdana"/>
          <w:color w:val="333333"/>
          <w:shd w:val="clear" w:color="auto" w:fill="FFFFFF"/>
        </w:rPr>
        <w:t>公债概述</w:t>
      </w:r>
    </w:p>
    <w:p w14:paraId="2F7F2802">
      <w:pPr>
        <w:pStyle w:val="7"/>
        <w:spacing w:before="0" w:beforeAutospacing="0" w:after="0" w:afterAutospacing="0"/>
        <w:rPr>
          <w:rFonts w:hint="eastAsia" w:ascii="Verdana" w:hAnsi="Verdana"/>
          <w:color w:val="333333"/>
        </w:rPr>
      </w:pPr>
      <w:r>
        <w:rPr>
          <w:rFonts w:hint="eastAsia" w:ascii="Verdana" w:hAnsi="Verdana"/>
          <w:color w:val="333333"/>
        </w:rPr>
        <w:t xml:space="preserve">    </w:t>
      </w:r>
      <w:r>
        <w:rPr>
          <w:rFonts w:ascii="Verdana" w:hAnsi="Verdana"/>
          <w:color w:val="333333"/>
          <w:shd w:val="clear" w:color="auto" w:fill="FFFFFF"/>
        </w:rPr>
        <w:t>公债的发行</w:t>
      </w:r>
    </w:p>
    <w:p w14:paraId="14D4B0D6">
      <w:pPr>
        <w:pStyle w:val="7"/>
        <w:spacing w:before="0" w:beforeAutospacing="0" w:after="0" w:afterAutospacing="0"/>
        <w:rPr>
          <w:rFonts w:hint="eastAsia" w:ascii="Verdana" w:hAnsi="Verdana"/>
          <w:color w:val="333333"/>
          <w:shd w:val="clear" w:color="auto" w:fill="FFFFFF"/>
        </w:rPr>
      </w:pPr>
      <w:r>
        <w:rPr>
          <w:rFonts w:hint="eastAsia" w:ascii="Verdana" w:hAnsi="Verdana"/>
          <w:color w:val="333333"/>
        </w:rPr>
        <w:t xml:space="preserve">    </w:t>
      </w:r>
      <w:r>
        <w:rPr>
          <w:rFonts w:ascii="Verdana" w:hAnsi="Verdana"/>
          <w:color w:val="333333"/>
          <w:shd w:val="clear" w:color="auto" w:fill="FFFFFF"/>
        </w:rPr>
        <w:t>公债的管理</w:t>
      </w:r>
    </w:p>
    <w:p w14:paraId="241DA4A9">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五</w:t>
      </w:r>
      <w:r>
        <w:rPr>
          <w:rFonts w:hint="eastAsia" w:ascii="Verdana" w:hAnsi="Verdana"/>
          <w:b/>
          <w:color w:val="333333"/>
          <w:shd w:val="clear" w:color="auto" w:fill="FFFFFF"/>
        </w:rPr>
        <w:t>、</w:t>
      </w:r>
      <w:r>
        <w:rPr>
          <w:rFonts w:ascii="Verdana" w:hAnsi="Verdana"/>
          <w:b/>
          <w:color w:val="333333"/>
          <w:shd w:val="clear" w:color="auto" w:fill="FFFFFF"/>
        </w:rPr>
        <w:t>国家预算</w:t>
      </w:r>
    </w:p>
    <w:p w14:paraId="332C7189">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国家预算概述</w:t>
      </w:r>
    </w:p>
    <w:p w14:paraId="2B16A913">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国家预算的编制与决算</w:t>
      </w:r>
    </w:p>
    <w:p w14:paraId="2E01D7E3">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复式预算</w:t>
      </w:r>
    </w:p>
    <w:p w14:paraId="2B199BC2">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国家预算管理体制</w:t>
      </w:r>
    </w:p>
    <w:p w14:paraId="5DE883F7">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六</w:t>
      </w:r>
      <w:r>
        <w:rPr>
          <w:rFonts w:hint="eastAsia" w:ascii="Verdana" w:hAnsi="Verdana"/>
          <w:b/>
          <w:color w:val="333333"/>
          <w:shd w:val="clear" w:color="auto" w:fill="FFFFFF"/>
        </w:rPr>
        <w:t>、</w:t>
      </w:r>
      <w:r>
        <w:rPr>
          <w:rFonts w:ascii="Verdana" w:hAnsi="Verdana"/>
          <w:b/>
          <w:color w:val="333333"/>
          <w:shd w:val="clear" w:color="auto" w:fill="FFFFFF"/>
        </w:rPr>
        <w:t>金融概述</w:t>
      </w:r>
    </w:p>
    <w:p w14:paraId="29749E9D">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金融的概念</w:t>
      </w:r>
    </w:p>
    <w:p w14:paraId="40856E54">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货币制度</w:t>
      </w:r>
    </w:p>
    <w:p w14:paraId="4B1B3682">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信用</w:t>
      </w:r>
    </w:p>
    <w:p w14:paraId="1890621A">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利率</w:t>
      </w:r>
    </w:p>
    <w:p w14:paraId="616E57E4">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七</w:t>
      </w:r>
      <w:r>
        <w:rPr>
          <w:rFonts w:hint="eastAsia" w:ascii="Verdana" w:hAnsi="Verdana"/>
          <w:b/>
          <w:color w:val="333333"/>
          <w:shd w:val="clear" w:color="auto" w:fill="FFFFFF"/>
        </w:rPr>
        <w:t>、</w:t>
      </w:r>
      <w:r>
        <w:rPr>
          <w:rFonts w:ascii="Verdana" w:hAnsi="Verdana"/>
          <w:b/>
          <w:color w:val="333333"/>
          <w:shd w:val="clear" w:color="auto" w:fill="FFFFFF"/>
        </w:rPr>
        <w:t>金融机构体系</w:t>
      </w:r>
    </w:p>
    <w:p w14:paraId="08EC564E">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金融机构体系构成</w:t>
      </w:r>
    </w:p>
    <w:p w14:paraId="4E6C2A45">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中央银行</w:t>
      </w:r>
    </w:p>
    <w:p w14:paraId="32948333">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政策性银行</w:t>
      </w:r>
    </w:p>
    <w:p w14:paraId="2AD41A3A">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八</w:t>
      </w:r>
      <w:r>
        <w:rPr>
          <w:rFonts w:hint="eastAsia" w:ascii="Verdana" w:hAnsi="Verdana"/>
          <w:b/>
          <w:color w:val="333333"/>
          <w:shd w:val="clear" w:color="auto" w:fill="FFFFFF"/>
        </w:rPr>
        <w:t>、</w:t>
      </w:r>
      <w:r>
        <w:rPr>
          <w:rFonts w:ascii="Verdana" w:hAnsi="Verdana"/>
          <w:b/>
          <w:color w:val="333333"/>
          <w:shd w:val="clear" w:color="auto" w:fill="FFFFFF"/>
        </w:rPr>
        <w:t>金融监管</w:t>
      </w:r>
    </w:p>
    <w:p w14:paraId="1FAAF921">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金融监管概述</w:t>
      </w:r>
    </w:p>
    <w:p w14:paraId="5FB940D0">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金融监管体系</w:t>
      </w:r>
    </w:p>
    <w:p w14:paraId="463D41B9">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九</w:t>
      </w:r>
      <w:r>
        <w:rPr>
          <w:rFonts w:hint="eastAsia" w:ascii="Verdana" w:hAnsi="Verdana"/>
          <w:b/>
          <w:color w:val="333333"/>
          <w:shd w:val="clear" w:color="auto" w:fill="FFFFFF"/>
        </w:rPr>
        <w:t>、</w:t>
      </w:r>
      <w:r>
        <w:rPr>
          <w:rFonts w:ascii="Verdana" w:hAnsi="Verdana"/>
          <w:b/>
          <w:color w:val="333333"/>
          <w:shd w:val="clear" w:color="auto" w:fill="FFFFFF"/>
        </w:rPr>
        <w:t>商业银行</w:t>
      </w:r>
    </w:p>
    <w:p w14:paraId="0422AFDF">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商业银行概述</w:t>
      </w:r>
    </w:p>
    <w:p w14:paraId="65CCEC13">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商业银行的负债业务</w:t>
      </w:r>
    </w:p>
    <w:p w14:paraId="514C81EE">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商业银行的资产业务</w:t>
      </w:r>
    </w:p>
    <w:p w14:paraId="27B83294">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商业银行的中间业务和表外业务</w:t>
      </w:r>
    </w:p>
    <w:p w14:paraId="629D8AB0">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网上银行业务</w:t>
      </w:r>
    </w:p>
    <w:p w14:paraId="454F3EA3">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我国商业银行简介</w:t>
      </w:r>
    </w:p>
    <w:p w14:paraId="677EC214">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十</w:t>
      </w:r>
      <w:r>
        <w:rPr>
          <w:rFonts w:hint="eastAsia" w:ascii="Verdana" w:hAnsi="Verdana"/>
          <w:b/>
          <w:color w:val="333333"/>
          <w:shd w:val="clear" w:color="auto" w:fill="FFFFFF"/>
        </w:rPr>
        <w:t>、</w:t>
      </w:r>
      <w:r>
        <w:rPr>
          <w:rFonts w:ascii="Verdana" w:hAnsi="Verdana"/>
          <w:b/>
          <w:color w:val="333333"/>
          <w:shd w:val="clear" w:color="auto" w:fill="FFFFFF"/>
        </w:rPr>
        <w:t>非银行金融机构</w:t>
      </w:r>
    </w:p>
    <w:p w14:paraId="3FE3A3F5">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保险机构</w:t>
      </w:r>
    </w:p>
    <w:p w14:paraId="67C6377F">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金融信托机构</w:t>
      </w:r>
    </w:p>
    <w:p w14:paraId="400C4E61">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租赁机构</w:t>
      </w:r>
    </w:p>
    <w:p w14:paraId="736EB1CD">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十一</w:t>
      </w:r>
      <w:r>
        <w:rPr>
          <w:rFonts w:hint="eastAsia" w:ascii="Verdana" w:hAnsi="Verdana"/>
          <w:b/>
          <w:color w:val="333333"/>
          <w:shd w:val="clear" w:color="auto" w:fill="FFFFFF"/>
        </w:rPr>
        <w:t>、</w:t>
      </w:r>
      <w:r>
        <w:rPr>
          <w:rFonts w:ascii="Verdana" w:hAnsi="Verdana"/>
          <w:b/>
          <w:color w:val="333333"/>
          <w:shd w:val="clear" w:color="auto" w:fill="FFFFFF"/>
        </w:rPr>
        <w:t>金融市场</w:t>
      </w:r>
    </w:p>
    <w:p w14:paraId="623FE951">
      <w:pPr>
        <w:pStyle w:val="7"/>
        <w:spacing w:before="0" w:beforeAutospacing="0" w:after="0" w:afterAutospacing="0"/>
        <w:ind w:firstLine="480" w:firstLineChars="200"/>
        <w:rPr>
          <w:rFonts w:hint="eastAsia" w:ascii="Verdana" w:hAnsi="Verdana"/>
          <w:color w:val="333333"/>
        </w:rPr>
      </w:pPr>
      <w:r>
        <w:rPr>
          <w:rFonts w:ascii="Verdana" w:hAnsi="Verdana"/>
          <w:color w:val="333333"/>
          <w:shd w:val="clear" w:color="auto" w:fill="FFFFFF"/>
        </w:rPr>
        <w:t>金融市场概述</w:t>
      </w:r>
    </w:p>
    <w:p w14:paraId="64E4D099">
      <w:pPr>
        <w:pStyle w:val="7"/>
        <w:spacing w:before="0" w:beforeAutospacing="0" w:after="0" w:afterAutospacing="0"/>
        <w:ind w:firstLine="480" w:firstLineChars="200"/>
        <w:rPr>
          <w:rFonts w:hint="eastAsia" w:ascii="Verdana" w:hAnsi="Verdana"/>
          <w:color w:val="333333"/>
        </w:rPr>
      </w:pPr>
      <w:r>
        <w:rPr>
          <w:rFonts w:ascii="Verdana" w:hAnsi="Verdana"/>
          <w:color w:val="333333"/>
          <w:shd w:val="clear" w:color="auto" w:fill="FFFFFF"/>
        </w:rPr>
        <w:t>金融工具</w:t>
      </w:r>
    </w:p>
    <w:p w14:paraId="18D8C1CA">
      <w:pPr>
        <w:pStyle w:val="7"/>
        <w:spacing w:before="0" w:beforeAutospacing="0" w:after="0" w:afterAutospacing="0"/>
        <w:ind w:left="479" w:leftChars="228"/>
        <w:rPr>
          <w:rFonts w:hint="eastAsia" w:ascii="Verdana" w:hAnsi="Verdana"/>
          <w:color w:val="333333"/>
        </w:rPr>
      </w:pPr>
      <w:r>
        <w:rPr>
          <w:rFonts w:ascii="Verdana" w:hAnsi="Verdana"/>
          <w:color w:val="333333"/>
          <w:shd w:val="clear" w:color="auto" w:fill="FFFFFF"/>
        </w:rPr>
        <w:t>货币市场</w:t>
      </w:r>
      <w:r>
        <w:rPr>
          <w:rFonts w:ascii="Verdana" w:hAnsi="Verdana"/>
          <w:color w:val="333333"/>
        </w:rPr>
        <w:br w:type="textWrapping"/>
      </w:r>
      <w:r>
        <w:rPr>
          <w:rFonts w:ascii="Verdana" w:hAnsi="Verdana"/>
          <w:color w:val="333333"/>
          <w:shd w:val="clear" w:color="auto" w:fill="FFFFFF"/>
        </w:rPr>
        <w:t>资本市场</w:t>
      </w:r>
    </w:p>
    <w:p w14:paraId="50E6FD6E">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十二</w:t>
      </w:r>
      <w:r>
        <w:rPr>
          <w:rFonts w:hint="eastAsia" w:ascii="Verdana" w:hAnsi="Verdana"/>
          <w:b/>
          <w:color w:val="333333"/>
          <w:shd w:val="clear" w:color="auto" w:fill="FFFFFF"/>
        </w:rPr>
        <w:t>、</w:t>
      </w:r>
      <w:r>
        <w:rPr>
          <w:rFonts w:ascii="Verdana" w:hAnsi="Verdana"/>
          <w:b/>
          <w:color w:val="333333"/>
          <w:shd w:val="clear" w:color="auto" w:fill="FFFFFF"/>
        </w:rPr>
        <w:t>国际金融</w:t>
      </w:r>
    </w:p>
    <w:p w14:paraId="452D68E4">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国际收支</w:t>
      </w:r>
    </w:p>
    <w:p w14:paraId="3DEF7C06">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外汇与汇率</w:t>
      </w:r>
    </w:p>
    <w:p w14:paraId="578A0356">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国际储备与外债</w:t>
      </w:r>
    </w:p>
    <w:p w14:paraId="6D6B9C51">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国际货币体系</w:t>
      </w:r>
    </w:p>
    <w:p w14:paraId="497C5C24">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国际金融机构</w:t>
      </w:r>
    </w:p>
    <w:p w14:paraId="7D15DB55">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十三</w:t>
      </w:r>
      <w:r>
        <w:rPr>
          <w:rFonts w:hint="eastAsia" w:ascii="Verdana" w:hAnsi="Verdana"/>
          <w:b/>
          <w:color w:val="333333"/>
          <w:shd w:val="clear" w:color="auto" w:fill="FFFFFF"/>
        </w:rPr>
        <w:t>、</w:t>
      </w:r>
      <w:r>
        <w:rPr>
          <w:rFonts w:ascii="Verdana" w:hAnsi="Verdana"/>
          <w:b/>
          <w:color w:val="333333"/>
          <w:shd w:val="clear" w:color="auto" w:fill="FFFFFF"/>
        </w:rPr>
        <w:t>货币的供给与需求</w:t>
      </w:r>
    </w:p>
    <w:p w14:paraId="2C81690B">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货币流通规律</w:t>
      </w:r>
    </w:p>
    <w:p w14:paraId="339790BB">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货币需求</w:t>
      </w:r>
    </w:p>
    <w:p w14:paraId="477C1B9F">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货币供给</w:t>
      </w:r>
    </w:p>
    <w:p w14:paraId="2C87031D">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衡量货币流通状况的标志</w:t>
      </w:r>
    </w:p>
    <w:p w14:paraId="77E12C1D">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通货膨胀与通货紧缩</w:t>
      </w:r>
    </w:p>
    <w:p w14:paraId="38A75C1A">
      <w:pPr>
        <w:pStyle w:val="7"/>
        <w:spacing w:before="0" w:beforeAutospacing="0" w:after="0" w:afterAutospacing="0"/>
        <w:outlineLvl w:val="0"/>
        <w:rPr>
          <w:rFonts w:hint="eastAsia" w:ascii="Verdana" w:hAnsi="Verdana"/>
          <w:b/>
          <w:color w:val="333333"/>
          <w:shd w:val="clear" w:color="auto" w:fill="FFFFFF"/>
        </w:rPr>
      </w:pPr>
      <w:r>
        <w:rPr>
          <w:rFonts w:ascii="Verdana" w:hAnsi="Verdana"/>
          <w:b/>
          <w:color w:val="333333"/>
          <w:shd w:val="clear" w:color="auto" w:fill="FFFFFF"/>
        </w:rPr>
        <w:t>十四</w:t>
      </w:r>
      <w:r>
        <w:rPr>
          <w:rFonts w:hint="eastAsia" w:ascii="Verdana" w:hAnsi="Verdana"/>
          <w:b/>
          <w:color w:val="333333"/>
          <w:shd w:val="clear" w:color="auto" w:fill="FFFFFF"/>
        </w:rPr>
        <w:t>、</w:t>
      </w:r>
      <w:r>
        <w:rPr>
          <w:rFonts w:ascii="Verdana" w:hAnsi="Verdana"/>
          <w:b/>
          <w:color w:val="333333"/>
          <w:shd w:val="clear" w:color="auto" w:fill="FFFFFF"/>
        </w:rPr>
        <w:t>财政与金融的宏观调控</w:t>
      </w:r>
    </w:p>
    <w:p w14:paraId="4EDF8096">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财政政策</w:t>
      </w:r>
    </w:p>
    <w:p w14:paraId="346C73CA">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货币政策</w:t>
      </w:r>
    </w:p>
    <w:p w14:paraId="1A7BF0B3">
      <w:pPr>
        <w:pStyle w:val="7"/>
        <w:spacing w:before="0" w:beforeAutospacing="0" w:after="0" w:afterAutospacing="0"/>
        <w:ind w:firstLine="480" w:firstLineChars="200"/>
        <w:rPr>
          <w:rFonts w:hint="eastAsia" w:ascii="Verdana" w:hAnsi="Verdana"/>
          <w:color w:val="333333"/>
          <w:shd w:val="clear" w:color="auto" w:fill="FFFFFF"/>
        </w:rPr>
      </w:pPr>
      <w:r>
        <w:rPr>
          <w:rFonts w:ascii="Verdana" w:hAnsi="Verdana"/>
          <w:color w:val="333333"/>
          <w:shd w:val="clear" w:color="auto" w:fill="FFFFFF"/>
        </w:rPr>
        <w:t>财政与金融的协调与配合</w:t>
      </w:r>
      <w:r>
        <w:rPr>
          <w:rFonts w:ascii="Verdana" w:hAnsi="Verdana"/>
          <w:color w:val="333333"/>
        </w:rPr>
        <w:br w:type="textWrapping"/>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30D4D">
    <w:pPr>
      <w:pStyle w:val="6"/>
      <w:jc w:val="both"/>
      <w:rPr>
        <w:rFonts w:hint="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zc1MDUzMTRjODk3YzRjNjAyNDEzZmU0ZWNlZDQifQ=="/>
  </w:docVars>
  <w:rsids>
    <w:rsidRoot w:val="00172A27"/>
    <w:rsid w:val="0000016D"/>
    <w:rsid w:val="000001BB"/>
    <w:rsid w:val="00011E5B"/>
    <w:rsid w:val="000175B6"/>
    <w:rsid w:val="00024A66"/>
    <w:rsid w:val="00026FBC"/>
    <w:rsid w:val="00031CB2"/>
    <w:rsid w:val="000729F0"/>
    <w:rsid w:val="000827B1"/>
    <w:rsid w:val="00094E43"/>
    <w:rsid w:val="000A1311"/>
    <w:rsid w:val="000C0566"/>
    <w:rsid w:val="000C1C7F"/>
    <w:rsid w:val="000D7327"/>
    <w:rsid w:val="000D78D9"/>
    <w:rsid w:val="000E2595"/>
    <w:rsid w:val="000E6684"/>
    <w:rsid w:val="0010072F"/>
    <w:rsid w:val="001018BF"/>
    <w:rsid w:val="00104690"/>
    <w:rsid w:val="001136A3"/>
    <w:rsid w:val="00120674"/>
    <w:rsid w:val="00120C4D"/>
    <w:rsid w:val="00121D71"/>
    <w:rsid w:val="00127C19"/>
    <w:rsid w:val="00134EDD"/>
    <w:rsid w:val="001364A4"/>
    <w:rsid w:val="001411D7"/>
    <w:rsid w:val="001427C8"/>
    <w:rsid w:val="00152755"/>
    <w:rsid w:val="0016592F"/>
    <w:rsid w:val="00175C1C"/>
    <w:rsid w:val="00176D8C"/>
    <w:rsid w:val="00183B52"/>
    <w:rsid w:val="0018550B"/>
    <w:rsid w:val="00195C41"/>
    <w:rsid w:val="00196385"/>
    <w:rsid w:val="001B1665"/>
    <w:rsid w:val="001B4CFB"/>
    <w:rsid w:val="001F4F33"/>
    <w:rsid w:val="001F6EAF"/>
    <w:rsid w:val="00205A97"/>
    <w:rsid w:val="002118B7"/>
    <w:rsid w:val="00216635"/>
    <w:rsid w:val="00224109"/>
    <w:rsid w:val="002262EF"/>
    <w:rsid w:val="00231A53"/>
    <w:rsid w:val="00247C69"/>
    <w:rsid w:val="002533B1"/>
    <w:rsid w:val="002549FC"/>
    <w:rsid w:val="002564B0"/>
    <w:rsid w:val="002741A2"/>
    <w:rsid w:val="002A6AC9"/>
    <w:rsid w:val="002B4882"/>
    <w:rsid w:val="002C04FF"/>
    <w:rsid w:val="002C4A28"/>
    <w:rsid w:val="002D34FF"/>
    <w:rsid w:val="002D7CB9"/>
    <w:rsid w:val="002E372D"/>
    <w:rsid w:val="002E3CA2"/>
    <w:rsid w:val="00304788"/>
    <w:rsid w:val="00314879"/>
    <w:rsid w:val="003320A0"/>
    <w:rsid w:val="0034066F"/>
    <w:rsid w:val="00341DBE"/>
    <w:rsid w:val="003623B7"/>
    <w:rsid w:val="00381D53"/>
    <w:rsid w:val="00391AEB"/>
    <w:rsid w:val="0039335F"/>
    <w:rsid w:val="00394243"/>
    <w:rsid w:val="003A1A45"/>
    <w:rsid w:val="003A6B58"/>
    <w:rsid w:val="003B0E7A"/>
    <w:rsid w:val="003C2560"/>
    <w:rsid w:val="003C26F6"/>
    <w:rsid w:val="003D4DCC"/>
    <w:rsid w:val="003D79BA"/>
    <w:rsid w:val="003E59D5"/>
    <w:rsid w:val="003F77D8"/>
    <w:rsid w:val="00400FF8"/>
    <w:rsid w:val="00413921"/>
    <w:rsid w:val="004219CC"/>
    <w:rsid w:val="0043361C"/>
    <w:rsid w:val="00434273"/>
    <w:rsid w:val="00435E39"/>
    <w:rsid w:val="00437BAC"/>
    <w:rsid w:val="0044350B"/>
    <w:rsid w:val="00451FD1"/>
    <w:rsid w:val="00453ACE"/>
    <w:rsid w:val="00457C3D"/>
    <w:rsid w:val="004738FB"/>
    <w:rsid w:val="00481674"/>
    <w:rsid w:val="00482347"/>
    <w:rsid w:val="004824CA"/>
    <w:rsid w:val="00492E42"/>
    <w:rsid w:val="00495EF7"/>
    <w:rsid w:val="004A2584"/>
    <w:rsid w:val="004A4E3B"/>
    <w:rsid w:val="004C5D0A"/>
    <w:rsid w:val="004C66A0"/>
    <w:rsid w:val="004D16FF"/>
    <w:rsid w:val="004D1ECC"/>
    <w:rsid w:val="004E3545"/>
    <w:rsid w:val="004E4292"/>
    <w:rsid w:val="004F6114"/>
    <w:rsid w:val="00501A58"/>
    <w:rsid w:val="0050340B"/>
    <w:rsid w:val="005108BF"/>
    <w:rsid w:val="00523E9B"/>
    <w:rsid w:val="00524C57"/>
    <w:rsid w:val="0053001A"/>
    <w:rsid w:val="00531CE5"/>
    <w:rsid w:val="00532B20"/>
    <w:rsid w:val="00532FBF"/>
    <w:rsid w:val="00537247"/>
    <w:rsid w:val="005415EC"/>
    <w:rsid w:val="00541F3D"/>
    <w:rsid w:val="00546F61"/>
    <w:rsid w:val="005538DC"/>
    <w:rsid w:val="0055487C"/>
    <w:rsid w:val="005676F0"/>
    <w:rsid w:val="005739E8"/>
    <w:rsid w:val="00592948"/>
    <w:rsid w:val="0059748E"/>
    <w:rsid w:val="00597E9D"/>
    <w:rsid w:val="005A5D88"/>
    <w:rsid w:val="005B71E7"/>
    <w:rsid w:val="005C265C"/>
    <w:rsid w:val="005C2A1D"/>
    <w:rsid w:val="005C31A4"/>
    <w:rsid w:val="005D47F4"/>
    <w:rsid w:val="005E619C"/>
    <w:rsid w:val="005F1CF6"/>
    <w:rsid w:val="005F48F5"/>
    <w:rsid w:val="0060465B"/>
    <w:rsid w:val="0061082B"/>
    <w:rsid w:val="00612D92"/>
    <w:rsid w:val="006157C8"/>
    <w:rsid w:val="006347A5"/>
    <w:rsid w:val="00636C88"/>
    <w:rsid w:val="00642B58"/>
    <w:rsid w:val="00656C85"/>
    <w:rsid w:val="00665A98"/>
    <w:rsid w:val="006801EB"/>
    <w:rsid w:val="006814FA"/>
    <w:rsid w:val="006911C2"/>
    <w:rsid w:val="006A63C9"/>
    <w:rsid w:val="006A7A29"/>
    <w:rsid w:val="006B1A71"/>
    <w:rsid w:val="006B3375"/>
    <w:rsid w:val="006B5F74"/>
    <w:rsid w:val="006B767E"/>
    <w:rsid w:val="006C706F"/>
    <w:rsid w:val="006D16D9"/>
    <w:rsid w:val="006D3D59"/>
    <w:rsid w:val="006D7DFB"/>
    <w:rsid w:val="006E1488"/>
    <w:rsid w:val="006E222A"/>
    <w:rsid w:val="0070623F"/>
    <w:rsid w:val="0071648B"/>
    <w:rsid w:val="00721DAF"/>
    <w:rsid w:val="007232CA"/>
    <w:rsid w:val="0073135E"/>
    <w:rsid w:val="0073162D"/>
    <w:rsid w:val="007373AF"/>
    <w:rsid w:val="00737C7C"/>
    <w:rsid w:val="0074608B"/>
    <w:rsid w:val="00750BFE"/>
    <w:rsid w:val="00756C08"/>
    <w:rsid w:val="00757FF1"/>
    <w:rsid w:val="00761771"/>
    <w:rsid w:val="007858FC"/>
    <w:rsid w:val="00786786"/>
    <w:rsid w:val="007A1B56"/>
    <w:rsid w:val="007A2B6D"/>
    <w:rsid w:val="007B097D"/>
    <w:rsid w:val="007B4523"/>
    <w:rsid w:val="007B4BE5"/>
    <w:rsid w:val="007B6F3E"/>
    <w:rsid w:val="007B76AC"/>
    <w:rsid w:val="007C6E17"/>
    <w:rsid w:val="007E2A3B"/>
    <w:rsid w:val="007F0419"/>
    <w:rsid w:val="007F5D94"/>
    <w:rsid w:val="00801A48"/>
    <w:rsid w:val="00802762"/>
    <w:rsid w:val="00810BB5"/>
    <w:rsid w:val="00812C21"/>
    <w:rsid w:val="00813364"/>
    <w:rsid w:val="00813A2B"/>
    <w:rsid w:val="00817FBF"/>
    <w:rsid w:val="008214BB"/>
    <w:rsid w:val="00824124"/>
    <w:rsid w:val="00837B0C"/>
    <w:rsid w:val="00861F11"/>
    <w:rsid w:val="008626F9"/>
    <w:rsid w:val="00862703"/>
    <w:rsid w:val="00867984"/>
    <w:rsid w:val="00870512"/>
    <w:rsid w:val="00875D67"/>
    <w:rsid w:val="008808E4"/>
    <w:rsid w:val="00884D10"/>
    <w:rsid w:val="0088782B"/>
    <w:rsid w:val="00892CBD"/>
    <w:rsid w:val="008A380B"/>
    <w:rsid w:val="008A41F3"/>
    <w:rsid w:val="008B5CB8"/>
    <w:rsid w:val="008B68A5"/>
    <w:rsid w:val="008B78CE"/>
    <w:rsid w:val="008C1F51"/>
    <w:rsid w:val="008C7A59"/>
    <w:rsid w:val="008D0FF3"/>
    <w:rsid w:val="008D1DBF"/>
    <w:rsid w:val="008E27F1"/>
    <w:rsid w:val="008F6DAB"/>
    <w:rsid w:val="0090253A"/>
    <w:rsid w:val="009069C5"/>
    <w:rsid w:val="00911138"/>
    <w:rsid w:val="00911CFB"/>
    <w:rsid w:val="00912D06"/>
    <w:rsid w:val="0091364E"/>
    <w:rsid w:val="00920756"/>
    <w:rsid w:val="00922365"/>
    <w:rsid w:val="0092597B"/>
    <w:rsid w:val="00931308"/>
    <w:rsid w:val="009423DD"/>
    <w:rsid w:val="009533A1"/>
    <w:rsid w:val="009631C6"/>
    <w:rsid w:val="009648D8"/>
    <w:rsid w:val="00971D78"/>
    <w:rsid w:val="009810C3"/>
    <w:rsid w:val="00983A42"/>
    <w:rsid w:val="00983C03"/>
    <w:rsid w:val="00984221"/>
    <w:rsid w:val="009933FE"/>
    <w:rsid w:val="00996B86"/>
    <w:rsid w:val="009A0FBF"/>
    <w:rsid w:val="009B269B"/>
    <w:rsid w:val="009B47D7"/>
    <w:rsid w:val="009C3238"/>
    <w:rsid w:val="009D306E"/>
    <w:rsid w:val="009E05F5"/>
    <w:rsid w:val="009E27AA"/>
    <w:rsid w:val="009E5A49"/>
    <w:rsid w:val="00A03A15"/>
    <w:rsid w:val="00A06BCF"/>
    <w:rsid w:val="00A06E48"/>
    <w:rsid w:val="00A12850"/>
    <w:rsid w:val="00A14B7D"/>
    <w:rsid w:val="00A21606"/>
    <w:rsid w:val="00A247E9"/>
    <w:rsid w:val="00A340D7"/>
    <w:rsid w:val="00A34641"/>
    <w:rsid w:val="00A3618A"/>
    <w:rsid w:val="00A4107A"/>
    <w:rsid w:val="00A45489"/>
    <w:rsid w:val="00A53306"/>
    <w:rsid w:val="00A5578C"/>
    <w:rsid w:val="00A57D1A"/>
    <w:rsid w:val="00A618EC"/>
    <w:rsid w:val="00A61ACC"/>
    <w:rsid w:val="00A678E8"/>
    <w:rsid w:val="00A825CF"/>
    <w:rsid w:val="00AA357D"/>
    <w:rsid w:val="00AA4D6F"/>
    <w:rsid w:val="00AB0E1B"/>
    <w:rsid w:val="00AC15E6"/>
    <w:rsid w:val="00AC4367"/>
    <w:rsid w:val="00AC77C4"/>
    <w:rsid w:val="00AD00C4"/>
    <w:rsid w:val="00AD1680"/>
    <w:rsid w:val="00AE58E7"/>
    <w:rsid w:val="00AE6D03"/>
    <w:rsid w:val="00AE7C75"/>
    <w:rsid w:val="00AF263F"/>
    <w:rsid w:val="00AF5069"/>
    <w:rsid w:val="00B013A8"/>
    <w:rsid w:val="00B07FE1"/>
    <w:rsid w:val="00B248D9"/>
    <w:rsid w:val="00B34271"/>
    <w:rsid w:val="00B44DB9"/>
    <w:rsid w:val="00B5154F"/>
    <w:rsid w:val="00B56875"/>
    <w:rsid w:val="00B761C7"/>
    <w:rsid w:val="00B839B3"/>
    <w:rsid w:val="00B85F8A"/>
    <w:rsid w:val="00B93269"/>
    <w:rsid w:val="00B94BBF"/>
    <w:rsid w:val="00BB5FA7"/>
    <w:rsid w:val="00BC5AF1"/>
    <w:rsid w:val="00BC5FDE"/>
    <w:rsid w:val="00BE0CD3"/>
    <w:rsid w:val="00BE3908"/>
    <w:rsid w:val="00BE5D60"/>
    <w:rsid w:val="00C02F96"/>
    <w:rsid w:val="00C04C29"/>
    <w:rsid w:val="00C05C26"/>
    <w:rsid w:val="00C05E19"/>
    <w:rsid w:val="00C128E9"/>
    <w:rsid w:val="00C20E5C"/>
    <w:rsid w:val="00C226A5"/>
    <w:rsid w:val="00C26D38"/>
    <w:rsid w:val="00C26F67"/>
    <w:rsid w:val="00C3358D"/>
    <w:rsid w:val="00C356FD"/>
    <w:rsid w:val="00C55011"/>
    <w:rsid w:val="00C670A5"/>
    <w:rsid w:val="00C9608A"/>
    <w:rsid w:val="00C96D5A"/>
    <w:rsid w:val="00CA577C"/>
    <w:rsid w:val="00CD3E3C"/>
    <w:rsid w:val="00CE316A"/>
    <w:rsid w:val="00CE7495"/>
    <w:rsid w:val="00CF70EC"/>
    <w:rsid w:val="00D1022D"/>
    <w:rsid w:val="00D10A06"/>
    <w:rsid w:val="00D138B4"/>
    <w:rsid w:val="00D21438"/>
    <w:rsid w:val="00D331E9"/>
    <w:rsid w:val="00D45357"/>
    <w:rsid w:val="00D46998"/>
    <w:rsid w:val="00D70857"/>
    <w:rsid w:val="00D7449D"/>
    <w:rsid w:val="00D80590"/>
    <w:rsid w:val="00D846AA"/>
    <w:rsid w:val="00DA7A89"/>
    <w:rsid w:val="00DC261E"/>
    <w:rsid w:val="00DC4093"/>
    <w:rsid w:val="00DD0B1A"/>
    <w:rsid w:val="00DE3567"/>
    <w:rsid w:val="00E05353"/>
    <w:rsid w:val="00E06E4F"/>
    <w:rsid w:val="00E179BA"/>
    <w:rsid w:val="00E2032B"/>
    <w:rsid w:val="00E337CF"/>
    <w:rsid w:val="00E35EDC"/>
    <w:rsid w:val="00E47DF2"/>
    <w:rsid w:val="00E50452"/>
    <w:rsid w:val="00E55262"/>
    <w:rsid w:val="00E57904"/>
    <w:rsid w:val="00E61E14"/>
    <w:rsid w:val="00E65F3C"/>
    <w:rsid w:val="00E66EDD"/>
    <w:rsid w:val="00E778C1"/>
    <w:rsid w:val="00E85320"/>
    <w:rsid w:val="00E91F56"/>
    <w:rsid w:val="00E94B07"/>
    <w:rsid w:val="00EA08F4"/>
    <w:rsid w:val="00EA505E"/>
    <w:rsid w:val="00EB6A09"/>
    <w:rsid w:val="00EB7BEF"/>
    <w:rsid w:val="00EC5745"/>
    <w:rsid w:val="00ED5B3E"/>
    <w:rsid w:val="00EE3D0C"/>
    <w:rsid w:val="00EE68A5"/>
    <w:rsid w:val="00EF030E"/>
    <w:rsid w:val="00EF12A0"/>
    <w:rsid w:val="00EF6012"/>
    <w:rsid w:val="00EF6995"/>
    <w:rsid w:val="00EF6D5B"/>
    <w:rsid w:val="00F0157A"/>
    <w:rsid w:val="00F0595D"/>
    <w:rsid w:val="00F14DC0"/>
    <w:rsid w:val="00F356FE"/>
    <w:rsid w:val="00F368F8"/>
    <w:rsid w:val="00F37818"/>
    <w:rsid w:val="00F478CC"/>
    <w:rsid w:val="00F506D3"/>
    <w:rsid w:val="00F56BF7"/>
    <w:rsid w:val="00F646C9"/>
    <w:rsid w:val="00F73733"/>
    <w:rsid w:val="00F81ABA"/>
    <w:rsid w:val="00F86962"/>
    <w:rsid w:val="00F872D1"/>
    <w:rsid w:val="00F92D97"/>
    <w:rsid w:val="00F95053"/>
    <w:rsid w:val="00F95147"/>
    <w:rsid w:val="00FA18F8"/>
    <w:rsid w:val="00FA6554"/>
    <w:rsid w:val="00FB128E"/>
    <w:rsid w:val="00FB232C"/>
    <w:rsid w:val="00FB5D71"/>
    <w:rsid w:val="00FC4696"/>
    <w:rsid w:val="00FD5FFF"/>
    <w:rsid w:val="00FD6753"/>
    <w:rsid w:val="00FF3995"/>
    <w:rsid w:val="00FF7B32"/>
    <w:rsid w:val="06421A05"/>
    <w:rsid w:val="10FF0AA3"/>
    <w:rsid w:val="14E76A83"/>
    <w:rsid w:val="35B817A0"/>
    <w:rsid w:val="3BB9626E"/>
    <w:rsid w:val="411967F6"/>
    <w:rsid w:val="417109E2"/>
    <w:rsid w:val="43625E8C"/>
    <w:rsid w:val="4FF352B0"/>
    <w:rsid w:val="61687131"/>
    <w:rsid w:val="64F90138"/>
    <w:rsid w:val="66E626F5"/>
    <w:rsid w:val="6E6A4B06"/>
    <w:rsid w:val="6F337871"/>
    <w:rsid w:val="75272646"/>
    <w:rsid w:val="76536C41"/>
    <w:rsid w:val="7E1531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Document Map"/>
    <w:basedOn w:val="1"/>
    <w:link w:val="15"/>
    <w:qFormat/>
    <w:uiPriority w:val="0"/>
    <w:rPr>
      <w:rFonts w:ascii="宋体"/>
      <w:sz w:val="18"/>
      <w:szCs w:val="18"/>
    </w:rPr>
  </w:style>
  <w:style w:type="paragraph" w:styleId="3">
    <w:name w:val="annotation text"/>
    <w:basedOn w:val="1"/>
    <w:link w:val="16"/>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17"/>
    <w:qFormat/>
    <w:uiPriority w:val="0"/>
    <w:rPr>
      <w:b/>
      <w:bCs/>
    </w:rPr>
  </w:style>
  <w:style w:type="character" w:styleId="11">
    <w:name w:val="page number"/>
    <w:qFormat/>
    <w:uiPriority w:val="0"/>
  </w:style>
  <w:style w:type="character" w:styleId="12">
    <w:name w:val="Emphasis"/>
    <w:qFormat/>
    <w:uiPriority w:val="0"/>
    <w:rPr>
      <w:color w:val="CC0000"/>
    </w:rPr>
  </w:style>
  <w:style w:type="character" w:styleId="13">
    <w:name w:val="Hyperlink"/>
    <w:qFormat/>
    <w:uiPriority w:val="0"/>
    <w:rPr>
      <w:color w:val="0000FF"/>
      <w:u w:val="single"/>
    </w:rPr>
  </w:style>
  <w:style w:type="character" w:styleId="14">
    <w:name w:val="annotation reference"/>
    <w:qFormat/>
    <w:uiPriority w:val="0"/>
    <w:rPr>
      <w:sz w:val="21"/>
      <w:szCs w:val="21"/>
    </w:rPr>
  </w:style>
  <w:style w:type="character" w:customStyle="1" w:styleId="15">
    <w:name w:val="文档结构图 Char"/>
    <w:link w:val="2"/>
    <w:qFormat/>
    <w:uiPriority w:val="0"/>
    <w:rPr>
      <w:rFonts w:ascii="宋体"/>
      <w:kern w:val="2"/>
      <w:sz w:val="18"/>
      <w:szCs w:val="18"/>
    </w:rPr>
  </w:style>
  <w:style w:type="character" w:customStyle="1" w:styleId="16">
    <w:name w:val="批注文字 Char"/>
    <w:link w:val="3"/>
    <w:qFormat/>
    <w:uiPriority w:val="0"/>
    <w:rPr>
      <w:kern w:val="2"/>
      <w:sz w:val="21"/>
    </w:rPr>
  </w:style>
  <w:style w:type="character" w:customStyle="1" w:styleId="17">
    <w:name w:val="批注主题 Char"/>
    <w:link w:val="8"/>
    <w:qFormat/>
    <w:uiPriority w:val="0"/>
    <w:rPr>
      <w:b/>
      <w:bCs/>
    </w:rPr>
  </w:style>
  <w:style w:type="paragraph" w:customStyle="1" w:styleId="18">
    <w:name w:val="Char Char Char Char Char Char1 Char"/>
    <w:basedOn w:val="1"/>
    <w:qFormat/>
    <w:uiPriority w:val="0"/>
    <w:pPr>
      <w:tabs>
        <w:tab w:val="left" w:pos="425"/>
      </w:tabs>
      <w:ind w:left="425" w:hanging="425"/>
    </w:pPr>
    <w:rPr>
      <w:rFonts w:eastAsia="仿宋_GB2312"/>
      <w:kern w:val="24"/>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2755</Words>
  <Characters>2813</Characters>
  <Lines>28</Lines>
  <Paragraphs>7</Paragraphs>
  <TotalTime>0</TotalTime>
  <ScaleCrop>false</ScaleCrop>
  <LinksUpToDate>false</LinksUpToDate>
  <CharactersWithSpaces>3529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2021-08-04T10:14:00Z</dcterms:created>
  <dc:creator>Administrator</dc:creator>
  <cp:lastModifiedBy>9288用户</cp:lastModifiedBy>
  <cp:lastPrinted>2020-07-15T02:35:00Z</cp:lastPrinted>
  <dcterms:modified xsi:type="dcterms:W3CDTF">2025-09-28T01:17:49Z</dcterms:modified>
  <dc:title>国民经济学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3F7125FD0A2841EBAA91869D5626B70A_13</vt:lpwstr>
  </property>
  <property fmtid="{D5CDD505-2E9C-101B-9397-08002B2CF9AE}" pid="4" name="KSOTemplateDocerSaveRecord">
    <vt:lpwstr>eyJoZGlkIjoiZTgzMmZjOGY1ZTMxNWRhMDBlNmJkYjQ0ZWZmZDdhMDMiLCJ1c2VySWQiOiIyNzI0NTA2MzMifQ==</vt:lpwstr>
  </property>
</Properties>
</file>