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7C6CD">
      <w:pPr>
        <w:jc w:val="center"/>
        <w:rPr>
          <w:rFonts w:ascii="黑体" w:eastAsia="黑体"/>
          <w:sz w:val="32"/>
          <w:szCs w:val="32"/>
        </w:rPr>
      </w:pPr>
      <w:r>
        <w:rPr>
          <w:rFonts w:hint="eastAsia" w:ascii="黑体" w:eastAsia="黑体"/>
          <w:sz w:val="32"/>
          <w:szCs w:val="32"/>
        </w:rPr>
        <w:t>广东财经大学硕士研究生入学考试试卷</w:t>
      </w:r>
    </w:p>
    <w:p w14:paraId="7548D01F">
      <w:pPr>
        <w:adjustRightInd w:val="0"/>
        <w:snapToGrid w:val="0"/>
        <w:rPr>
          <w:rFonts w:ascii="仿宋_GB2312" w:eastAsia="仿宋_GB2312"/>
          <w:b/>
          <w:sz w:val="24"/>
        </w:rPr>
      </w:pPr>
      <w:r>
        <w:rPr>
          <w:rFonts w:hint="eastAsia" w:ascii="仿宋_GB2312" w:eastAsia="仿宋_GB2312"/>
          <w:b/>
          <w:sz w:val="24"/>
        </w:rPr>
        <w:t>考试年度：</w:t>
      </w:r>
      <w:r>
        <w:rPr>
          <w:rFonts w:hint="eastAsia" w:ascii="仿宋_GB2312" w:eastAsia="仿宋_GB2312"/>
          <w:sz w:val="24"/>
          <w:u w:val="single"/>
        </w:rPr>
        <w:t>2023年</w:t>
      </w:r>
      <w:r>
        <w:rPr>
          <w:rFonts w:hint="eastAsia" w:ascii="仿宋_GB2312" w:eastAsia="仿宋_GB2312"/>
          <w:sz w:val="24"/>
        </w:rPr>
        <w:t xml:space="preserve">  　　　　</w:t>
      </w:r>
      <w:r>
        <w:rPr>
          <w:rFonts w:hint="eastAsia" w:ascii="仿宋_GB2312" w:eastAsia="仿宋_GB2312"/>
          <w:b/>
          <w:sz w:val="24"/>
        </w:rPr>
        <w:t>考试科目代码及名称：</w:t>
      </w:r>
      <w:bookmarkStart w:id="0" w:name="_GoBack"/>
      <w:r>
        <w:rPr>
          <w:rFonts w:hint="eastAsia" w:ascii="仿宋_GB2312" w:eastAsia="仿宋_GB2312"/>
          <w:sz w:val="24"/>
          <w:u w:val="single"/>
        </w:rPr>
        <w:t>433-税务专业基础</w:t>
      </w:r>
      <w:r>
        <w:rPr>
          <w:rFonts w:hint="eastAsia" w:ascii="仿宋_GB2312" w:hAnsi="仿宋" w:eastAsia="仿宋_GB2312"/>
          <w:sz w:val="24"/>
          <w:u w:val="single"/>
        </w:rPr>
        <w:t>(自命题)</w:t>
      </w:r>
      <w:r>
        <w:rPr>
          <w:rFonts w:hint="eastAsia" w:ascii="仿宋_GB2312" w:hAnsi="仿宋" w:eastAsia="仿宋_GB2312"/>
          <w:b/>
          <w:sz w:val="24"/>
        </w:rPr>
        <w:t xml:space="preserve"> </w:t>
      </w:r>
      <w:bookmarkEnd w:id="0"/>
      <w:r>
        <w:rPr>
          <w:rFonts w:hint="eastAsia" w:ascii="仿宋_GB2312" w:eastAsia="仿宋_GB2312"/>
          <w:b/>
          <w:sz w:val="24"/>
        </w:rPr>
        <w:t xml:space="preserve">  </w:t>
      </w:r>
    </w:p>
    <w:p w14:paraId="381C55D9">
      <w:pPr>
        <w:adjustRightInd w:val="0"/>
        <w:snapToGrid w:val="0"/>
        <w:rPr>
          <w:rFonts w:ascii="仿宋_GB2312" w:eastAsia="仿宋_GB2312"/>
          <w:sz w:val="24"/>
          <w:u w:val="single"/>
        </w:rPr>
      </w:pPr>
      <w:r>
        <w:rPr>
          <w:rFonts w:hint="eastAsia" w:ascii="仿宋_GB2312" w:eastAsia="仿宋_GB2312"/>
          <w:b/>
          <w:sz w:val="24"/>
        </w:rPr>
        <w:t>适用专业：</w:t>
      </w:r>
      <w:r>
        <w:rPr>
          <w:rFonts w:hint="eastAsia" w:ascii="仿宋_GB2312" w:eastAsia="仿宋_GB2312"/>
          <w:sz w:val="24"/>
          <w:u w:val="single"/>
        </w:rPr>
        <w:t>025300 税务</w:t>
      </w:r>
    </w:p>
    <w:p w14:paraId="05961CBB">
      <w:pPr>
        <w:adjustRightInd w:val="0"/>
        <w:snapToGrid w:val="0"/>
        <w:rPr>
          <w:rFonts w:ascii="仿宋_GB2312" w:eastAsia="仿宋_GB2312"/>
          <w:sz w:val="24"/>
          <w:u w:val="single"/>
        </w:rPr>
      </w:pPr>
    </w:p>
    <w:p w14:paraId="3FD57D14">
      <w:pPr>
        <w:adjustRightInd w:val="0"/>
        <w:snapToGrid w:val="0"/>
        <w:rPr>
          <w:rFonts w:ascii="仿宋_GB2312" w:eastAsia="仿宋_GB2312"/>
          <w:b/>
          <w:sz w:val="24"/>
          <w:u w:val="single"/>
        </w:rPr>
      </w:pPr>
      <w:r>
        <w:rPr>
          <w:rFonts w:hint="eastAsia" w:ascii="仿宋_GB2312" w:eastAsia="仿宋_GB2312"/>
          <w:b/>
          <w:sz w:val="24"/>
          <w:u w:val="single"/>
        </w:rPr>
        <w:t>［友情提醒：请在考点提供的专用答题纸上答题，答在本卷或草稿纸上无效！］</w:t>
      </w:r>
    </w:p>
    <w:p w14:paraId="31DC3CCA">
      <w:pPr>
        <w:adjustRightInd w:val="0"/>
        <w:snapToGrid w:val="0"/>
        <w:rPr>
          <w:rFonts w:hint="eastAsia" w:ascii="仿宋_GB2312" w:eastAsia="仿宋_GB2312"/>
          <w:b/>
          <w:sz w:val="24"/>
          <w:u w:val="single"/>
        </w:rPr>
      </w:pPr>
    </w:p>
    <w:p w14:paraId="7B81C6C8">
      <w:pPr>
        <w:widowControl/>
        <w:numPr>
          <w:ilvl w:val="0"/>
          <w:numId w:val="1"/>
        </w:numPr>
        <w:snapToGrid w:val="0"/>
        <w:spacing w:line="360" w:lineRule="auto"/>
        <w:rPr>
          <w:rFonts w:ascii="仿宋_GB2312" w:hAnsi="仿宋" w:eastAsia="仿宋_GB2312"/>
          <w:b/>
          <w:sz w:val="24"/>
        </w:rPr>
      </w:pPr>
      <w:r>
        <w:rPr>
          <w:rFonts w:hint="eastAsia" w:ascii="仿宋_GB2312" w:hAnsi="仿宋" w:eastAsia="仿宋_GB2312"/>
          <w:b/>
          <w:sz w:val="24"/>
        </w:rPr>
        <w:t>简答题（5题，每题10分，共50分）</w:t>
      </w:r>
    </w:p>
    <w:p w14:paraId="2470C744">
      <w:pPr>
        <w:widowControl/>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1．瓦格纳的税收原则是什么？</w:t>
      </w:r>
    </w:p>
    <w:p w14:paraId="14235410">
      <w:pPr>
        <w:widowControl/>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2．税率包括哪些类型？超额累进税率的特点是什么？</w:t>
      </w:r>
    </w:p>
    <w:p w14:paraId="247FC436">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3．影响税负转嫁的因素有哪些？</w:t>
      </w:r>
    </w:p>
    <w:p w14:paraId="1CD5E7B4">
      <w:pPr>
        <w:widowControl/>
        <w:snapToGrid w:val="0"/>
        <w:spacing w:line="360" w:lineRule="auto"/>
        <w:ind w:firstLine="480" w:firstLineChars="200"/>
        <w:rPr>
          <w:rFonts w:hint="eastAsia" w:ascii="仿宋" w:hAnsi="仿宋" w:eastAsia="仿宋" w:cs="仿宋"/>
          <w:sz w:val="24"/>
        </w:rPr>
      </w:pPr>
      <w:r>
        <w:rPr>
          <w:rFonts w:ascii="仿宋" w:hAnsi="仿宋" w:eastAsia="仿宋" w:cs="仿宋"/>
          <w:sz w:val="24"/>
        </w:rPr>
        <w:t>4</w:t>
      </w:r>
      <w:r>
        <w:rPr>
          <w:rFonts w:hint="eastAsia" w:ascii="仿宋" w:hAnsi="仿宋" w:eastAsia="仿宋" w:cs="仿宋"/>
          <w:sz w:val="24"/>
        </w:rPr>
        <w:t>．哪些措施可有利于提高纳税人税收遵从度？</w:t>
      </w:r>
    </w:p>
    <w:p w14:paraId="39C2DBE1">
      <w:pPr>
        <w:widowControl/>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5．避免国际重复征税的方法有哪些？</w:t>
      </w:r>
    </w:p>
    <w:p w14:paraId="19200A0F">
      <w:pPr>
        <w:widowControl/>
        <w:numPr>
          <w:ilvl w:val="0"/>
          <w:numId w:val="1"/>
        </w:numPr>
        <w:snapToGrid w:val="0"/>
        <w:spacing w:line="360" w:lineRule="auto"/>
        <w:rPr>
          <w:rFonts w:ascii="仿宋_GB2312" w:hAnsi="仿宋" w:eastAsia="仿宋_GB2312"/>
          <w:b/>
          <w:sz w:val="24"/>
        </w:rPr>
      </w:pPr>
      <w:r>
        <w:rPr>
          <w:rFonts w:hint="eastAsia" w:ascii="仿宋_GB2312" w:hAnsi="仿宋" w:eastAsia="仿宋_GB2312"/>
          <w:b/>
          <w:sz w:val="24"/>
        </w:rPr>
        <w:t>材料分析题（5题，每题10分，共50分）</w:t>
      </w:r>
    </w:p>
    <w:p w14:paraId="01BEF508">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1．党的二十大报告指出</w:t>
      </w:r>
      <w:r>
        <w:rPr>
          <w:rFonts w:ascii="仿宋" w:hAnsi="仿宋" w:eastAsia="仿宋" w:cs="仿宋"/>
          <w:sz w:val="24"/>
        </w:rPr>
        <w:t>分配制度是促进共同富裕的基础性制度。</w:t>
      </w:r>
      <w:r>
        <w:rPr>
          <w:rFonts w:hint="eastAsia" w:ascii="仿宋" w:hAnsi="仿宋" w:eastAsia="仿宋" w:cs="仿宋"/>
          <w:sz w:val="24"/>
        </w:rPr>
        <w:t>要</w:t>
      </w:r>
      <w:r>
        <w:rPr>
          <w:rFonts w:ascii="仿宋" w:hAnsi="仿宋" w:eastAsia="仿宋" w:cs="仿宋"/>
          <w:sz w:val="24"/>
        </w:rPr>
        <w:t>努力提高居民收入在国民收入分配中的比重，提高劳动报酬在初次分配中的比重。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14:paraId="46335E80">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请结合税收职能，分析在促进共同富裕的过程中为什么要加大税收调节力度？</w:t>
      </w:r>
    </w:p>
    <w:p w14:paraId="6C827E53">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 xml:space="preserve">. </w:t>
      </w:r>
      <w:r>
        <w:rPr>
          <w:rFonts w:hint="eastAsia" w:ascii="仿宋" w:hAnsi="仿宋" w:eastAsia="仿宋" w:cs="仿宋"/>
          <w:sz w:val="24"/>
        </w:rPr>
        <w:t>2022年《政府工作报告》提出，要持续激发市场主体活力，实施新的组合式税费支持政策，减税与退税并举。一方面，延续实施扶持制造业、小微企业和个体工商户的减税降费政策。另一方面，综合考虑为企业提供现金流支持、促进消费投资、大力改进增值税留抵退税制度，对留抵税额实行大规模退税。优先安排小微企业，重点支持制造业，全面解决制造业、科研和技术服务、生态环保、电力燃气、交通运输等行业留抵退税问题。</w:t>
      </w:r>
    </w:p>
    <w:p w14:paraId="43A5D579">
      <w:pPr>
        <w:widowControl/>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税务总局消息显示，从2</w:t>
      </w:r>
      <w:r>
        <w:rPr>
          <w:rFonts w:ascii="仿宋" w:hAnsi="仿宋" w:eastAsia="仿宋" w:cs="仿宋"/>
          <w:sz w:val="24"/>
        </w:rPr>
        <w:t>022</w:t>
      </w:r>
      <w:r>
        <w:rPr>
          <w:rFonts w:hint="eastAsia" w:ascii="仿宋" w:hAnsi="仿宋" w:eastAsia="仿宋" w:cs="仿宋"/>
          <w:sz w:val="24"/>
        </w:rPr>
        <w:t>年4月1日大规模增值税留抵退税政策实施至2</w:t>
      </w:r>
      <w:r>
        <w:rPr>
          <w:rFonts w:ascii="仿宋" w:hAnsi="仿宋" w:eastAsia="仿宋" w:cs="仿宋"/>
          <w:sz w:val="24"/>
        </w:rPr>
        <w:t>022</w:t>
      </w:r>
      <w:r>
        <w:rPr>
          <w:rFonts w:hint="eastAsia" w:ascii="仿宋" w:hAnsi="仿宋" w:eastAsia="仿宋" w:cs="仿宋"/>
          <w:sz w:val="24"/>
        </w:rPr>
        <w:t>年9月20日，已退到纳税人账户的增值税留抵退税款达22113亿元，大规模留抵退税存量留抵税额集中退还任务完成。</w:t>
      </w:r>
    </w:p>
    <w:p w14:paraId="000D5C2B">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请</w:t>
      </w:r>
      <w:r>
        <w:rPr>
          <w:rFonts w:ascii="仿宋" w:hAnsi="仿宋" w:eastAsia="仿宋" w:cs="仿宋"/>
          <w:sz w:val="24"/>
        </w:rPr>
        <w:t>结合增值税的计税原理</w:t>
      </w:r>
      <w:r>
        <w:rPr>
          <w:rFonts w:hint="eastAsia" w:ascii="仿宋" w:hAnsi="仿宋" w:eastAsia="仿宋" w:cs="仿宋"/>
          <w:sz w:val="24"/>
        </w:rPr>
        <w:t>，</w:t>
      </w:r>
      <w:r>
        <w:rPr>
          <w:rFonts w:ascii="仿宋" w:hAnsi="仿宋" w:eastAsia="仿宋" w:cs="仿宋"/>
          <w:sz w:val="24"/>
        </w:rPr>
        <w:t>分析增值税</w:t>
      </w:r>
      <w:r>
        <w:rPr>
          <w:rFonts w:hint="eastAsia" w:ascii="仿宋" w:hAnsi="仿宋" w:eastAsia="仿宋" w:cs="仿宋"/>
          <w:sz w:val="24"/>
          <w:lang w:eastAsia="zh-CN"/>
        </w:rPr>
        <w:t>留抵退税</w:t>
      </w:r>
      <w:r>
        <w:rPr>
          <w:rFonts w:hint="eastAsia" w:ascii="仿宋" w:hAnsi="仿宋" w:eastAsia="仿宋" w:cs="仿宋"/>
          <w:sz w:val="24"/>
        </w:rPr>
        <w:t>的必要性及其对经济的影响。</w:t>
      </w:r>
    </w:p>
    <w:p w14:paraId="13F7CC84">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.数据显示</w:t>
      </w:r>
      <w:r>
        <w:rPr>
          <w:rFonts w:hint="eastAsia" w:ascii="仿宋" w:hAnsi="仿宋" w:eastAsia="仿宋" w:cs="仿宋"/>
          <w:sz w:val="24"/>
        </w:rPr>
        <w:t>，</w:t>
      </w:r>
      <w:r>
        <w:rPr>
          <w:rFonts w:ascii="仿宋" w:hAnsi="仿宋" w:eastAsia="仿宋" w:cs="仿宋"/>
          <w:sz w:val="24"/>
        </w:rPr>
        <w:t>近年来，我国税制结构不断优化，2021年，全国税收收入17.3万亿元，税收收入占一般公共预算收入的比重达到85.3%。2021年，直接税的比重达到36%</w:t>
      </w:r>
      <w:r>
        <w:rPr>
          <w:rFonts w:hint="eastAsia" w:ascii="仿宋" w:hAnsi="仿宋" w:eastAsia="仿宋" w:cs="仿宋"/>
          <w:sz w:val="24"/>
        </w:rPr>
        <w:t>。《中华人民共和国国民经济和社会发展第十四个五年规划和2035年远景目标纲要》指出，我国在“十四五”时期要进一步“优化税制结构，健全直接税体系，适当提高直接税比重。完善个人所得税制度，推进扩大综合征收范围，优化税率结构”。</w:t>
      </w:r>
    </w:p>
    <w:p w14:paraId="102E60D6">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请结合以上材料，分析为什么我国税制改革要减少间接税比重、增加个人所得税等直接税比重？</w:t>
      </w:r>
    </w:p>
    <w:p w14:paraId="1BC4578E">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近年来，党中央、国务院高度重视税收征管改革工作。《中华人民共和国国民经济和社会发展第十四个五年规划和2035年远景目标纲要》</w:t>
      </w:r>
      <w:r>
        <w:rPr>
          <w:rFonts w:ascii="仿宋" w:hAnsi="仿宋" w:eastAsia="仿宋" w:cs="仿宋"/>
          <w:sz w:val="24"/>
        </w:rPr>
        <w:t>提出</w:t>
      </w:r>
      <w:r>
        <w:rPr>
          <w:rFonts w:hint="eastAsia" w:ascii="仿宋" w:hAnsi="仿宋" w:eastAsia="仿宋" w:cs="仿宋"/>
          <w:sz w:val="24"/>
        </w:rPr>
        <w:t>“要</w:t>
      </w:r>
      <w:r>
        <w:rPr>
          <w:rFonts w:ascii="仿宋" w:hAnsi="仿宋" w:eastAsia="仿宋" w:cs="仿宋"/>
          <w:sz w:val="24"/>
        </w:rPr>
        <w:t>深化税收征管制度改革，建设智慧税务，推动税收征管现代化</w:t>
      </w:r>
      <w:r>
        <w:rPr>
          <w:rFonts w:hint="eastAsia" w:ascii="仿宋" w:hAnsi="仿宋" w:eastAsia="仿宋" w:cs="仿宋"/>
          <w:sz w:val="24"/>
        </w:rPr>
        <w:t>”</w:t>
      </w:r>
      <w:r>
        <w:rPr>
          <w:rFonts w:ascii="仿宋" w:hAnsi="仿宋" w:eastAsia="仿宋" w:cs="仿宋"/>
          <w:sz w:val="24"/>
        </w:rPr>
        <w:t>。</w:t>
      </w:r>
      <w:r>
        <w:rPr>
          <w:rFonts w:hint="eastAsia" w:ascii="仿宋" w:hAnsi="仿宋" w:eastAsia="仿宋" w:cs="仿宋"/>
          <w:sz w:val="24"/>
        </w:rPr>
        <w:t>2</w:t>
      </w:r>
      <w:r>
        <w:rPr>
          <w:rFonts w:ascii="仿宋" w:hAnsi="仿宋" w:eastAsia="仿宋" w:cs="仿宋"/>
          <w:sz w:val="24"/>
        </w:rPr>
        <w:t>021</w:t>
      </w:r>
      <w:r>
        <w:rPr>
          <w:rFonts w:hint="eastAsia" w:ascii="仿宋" w:hAnsi="仿宋" w:eastAsia="仿宋" w:cs="仿宋"/>
          <w:sz w:val="24"/>
        </w:rPr>
        <w:t>年3月2</w:t>
      </w:r>
      <w:r>
        <w:rPr>
          <w:rFonts w:ascii="仿宋" w:hAnsi="仿宋" w:eastAsia="仿宋" w:cs="仿宋"/>
          <w:sz w:val="24"/>
        </w:rPr>
        <w:t>4</w:t>
      </w:r>
      <w:r>
        <w:rPr>
          <w:rFonts w:hint="eastAsia" w:ascii="仿宋" w:hAnsi="仿宋" w:eastAsia="仿宋" w:cs="仿宋"/>
          <w:sz w:val="24"/>
        </w:rPr>
        <w:t>日，中共中央办公厅、国务院办公厅印发了《关于进一步深化税收征管改革的意见》，</w:t>
      </w:r>
      <w:r>
        <w:rPr>
          <w:rFonts w:ascii="仿宋" w:hAnsi="仿宋" w:eastAsia="仿宋" w:cs="仿宋"/>
          <w:sz w:val="24"/>
        </w:rPr>
        <w:t>提出“全面推进税收征管数字化升级和智能化改造”</w:t>
      </w:r>
      <w:r>
        <w:rPr>
          <w:rFonts w:hint="eastAsia" w:ascii="仿宋" w:hAnsi="仿宋" w:eastAsia="仿宋" w:cs="仿宋"/>
          <w:sz w:val="24"/>
        </w:rPr>
        <w:t>。这</w:t>
      </w:r>
      <w:r>
        <w:rPr>
          <w:rFonts w:ascii="仿宋" w:hAnsi="仿宋" w:eastAsia="仿宋" w:cs="仿宋"/>
          <w:sz w:val="24"/>
        </w:rPr>
        <w:t>既为完善现代化税收征管体制指明了路径和条件，也为深化税收征管改革明确了方向、提出了要求。</w:t>
      </w:r>
    </w:p>
    <w:p w14:paraId="314834DD">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请结合税收效率原则，分析</w:t>
      </w:r>
      <w:r>
        <w:rPr>
          <w:rFonts w:ascii="仿宋" w:hAnsi="仿宋" w:eastAsia="仿宋" w:cs="仿宋"/>
          <w:sz w:val="24"/>
        </w:rPr>
        <w:t>全面推进税收征管数字化升级和智能化改造</w:t>
      </w:r>
      <w:r>
        <w:rPr>
          <w:rFonts w:hint="eastAsia" w:ascii="仿宋" w:hAnsi="仿宋" w:eastAsia="仿宋" w:cs="仿宋"/>
          <w:sz w:val="24"/>
        </w:rPr>
        <w:t>的意义。</w:t>
      </w:r>
    </w:p>
    <w:p w14:paraId="04AED0EF">
      <w:pPr>
        <w:widowControl/>
        <w:snapToGrid w:val="0"/>
        <w:spacing w:line="360" w:lineRule="auto"/>
        <w:ind w:firstLine="480" w:firstLineChars="200"/>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根据美国《福布斯》杂志的“税负痛苦指数”的榜单，我国多年来税负痛苦指数位居全球前列。但国内大部分学者并不认可这份榜单。</w:t>
      </w:r>
      <w:r>
        <w:rPr>
          <w:rFonts w:ascii="仿宋" w:hAnsi="仿宋" w:eastAsia="仿宋" w:cs="仿宋"/>
          <w:sz w:val="24"/>
        </w:rPr>
        <w:t>国家税务总局统计数据显示</w:t>
      </w:r>
      <w:r>
        <w:rPr>
          <w:rFonts w:hint="eastAsia" w:ascii="仿宋" w:hAnsi="仿宋" w:eastAsia="仿宋" w:cs="仿宋"/>
          <w:sz w:val="24"/>
        </w:rPr>
        <w:t>，近年来，</w:t>
      </w:r>
      <w:r>
        <w:rPr>
          <w:rFonts w:ascii="仿宋" w:hAnsi="仿宋" w:eastAsia="仿宋" w:cs="仿宋"/>
          <w:sz w:val="24"/>
        </w:rPr>
        <w:t>随着党中央、国务院一系列减税降费政策落实落地，我国宏观税负</w:t>
      </w:r>
      <w:r>
        <w:rPr>
          <w:rFonts w:hint="eastAsia" w:ascii="仿宋" w:hAnsi="仿宋" w:eastAsia="仿宋" w:cs="仿宋"/>
          <w:sz w:val="24"/>
        </w:rPr>
        <w:t>逐年降低，</w:t>
      </w:r>
      <w:r>
        <w:rPr>
          <w:rFonts w:ascii="仿宋" w:hAnsi="仿宋" w:eastAsia="仿宋" w:cs="仿宋"/>
          <w:sz w:val="24"/>
        </w:rPr>
        <w:t>2021年降至15.1%，比“十二五”末2015年的18.13%降低近3个百分点。华夏新供给经济学研究院院</w:t>
      </w:r>
      <w:r>
        <w:rPr>
          <w:rFonts w:hint="eastAsia" w:ascii="仿宋" w:hAnsi="仿宋" w:eastAsia="仿宋" w:cs="仿宋"/>
          <w:sz w:val="24"/>
        </w:rPr>
        <w:t>长贾康</w:t>
      </w:r>
      <w:r>
        <w:rPr>
          <w:rFonts w:ascii="仿宋" w:hAnsi="仿宋" w:eastAsia="仿宋" w:cs="仿宋"/>
          <w:sz w:val="24"/>
        </w:rPr>
        <w:t>说，从宏观税负，即税收和GDP相比这个比重来看，所有数据对比都不能证明中国宏观税负在世界上偏高</w:t>
      </w:r>
      <w:r>
        <w:rPr>
          <w:rFonts w:hint="eastAsia" w:ascii="仿宋" w:hAnsi="仿宋" w:eastAsia="仿宋" w:cs="仿宋"/>
          <w:sz w:val="24"/>
        </w:rPr>
        <w:t>，</w:t>
      </w:r>
      <w:r>
        <w:rPr>
          <w:rFonts w:ascii="仿宋" w:hAnsi="仿宋" w:eastAsia="仿宋" w:cs="仿宋"/>
          <w:sz w:val="24"/>
        </w:rPr>
        <w:t>它事实上明显低于发达国家，甚至比发展中国家的平均值也稍低。</w:t>
      </w:r>
      <w:r>
        <w:rPr>
          <w:rFonts w:hint="eastAsia" w:ascii="仿宋" w:hAnsi="仿宋" w:eastAsia="仿宋" w:cs="仿宋"/>
          <w:sz w:val="24"/>
        </w:rPr>
        <w:t>现任</w:t>
      </w:r>
      <w:r>
        <w:rPr>
          <w:rFonts w:ascii="仿宋" w:hAnsi="仿宋" w:eastAsia="仿宋" w:cs="仿宋"/>
          <w:sz w:val="24"/>
        </w:rPr>
        <w:t>国务院秘书长、机关党组书记肖捷</w:t>
      </w:r>
      <w:r>
        <w:rPr>
          <w:rFonts w:hint="eastAsia" w:ascii="仿宋" w:hAnsi="仿宋" w:eastAsia="仿宋" w:cs="仿宋"/>
          <w:sz w:val="24"/>
        </w:rPr>
        <w:t>（</w:t>
      </w:r>
      <w:r>
        <w:rPr>
          <w:rFonts w:ascii="仿宋" w:hAnsi="仿宋" w:eastAsia="仿宋" w:cs="仿宋"/>
          <w:sz w:val="24"/>
        </w:rPr>
        <w:t>国家税务总局</w:t>
      </w:r>
      <w:r>
        <w:rPr>
          <w:rFonts w:hint="eastAsia" w:ascii="仿宋" w:hAnsi="仿宋" w:eastAsia="仿宋" w:cs="仿宋"/>
          <w:sz w:val="24"/>
        </w:rPr>
        <w:t>原</w:t>
      </w:r>
      <w:r>
        <w:rPr>
          <w:rFonts w:ascii="仿宋" w:hAnsi="仿宋" w:eastAsia="仿宋" w:cs="仿宋"/>
          <w:sz w:val="24"/>
        </w:rPr>
        <w:t>局长</w:t>
      </w:r>
      <w:r>
        <w:rPr>
          <w:rFonts w:hint="eastAsia" w:ascii="仿宋" w:hAnsi="仿宋" w:eastAsia="仿宋" w:cs="仿宋"/>
          <w:sz w:val="24"/>
        </w:rPr>
        <w:t>）曾</w:t>
      </w:r>
      <w:r>
        <w:rPr>
          <w:rFonts w:ascii="仿宋" w:hAnsi="仿宋" w:eastAsia="仿宋" w:cs="仿宋"/>
          <w:sz w:val="24"/>
        </w:rPr>
        <w:t>在《中国改革》杂志撰文指出，国外某杂志发布的中国税负痛苦指数全球排行第二的说法有误，随着公共产品和服务需求的快速上升，以及经济的不断发展，今后一个时期中国宏观税负不仅有上升的需要，也有提升空间。肖捷认为，《福布斯》将简单相加后的税率等同于税负显然是一种谬误，因为决定税负的因素不仅有税率，还有税基。</w:t>
      </w:r>
    </w:p>
    <w:p w14:paraId="6AFD1E1F">
      <w:pPr>
        <w:widowControl/>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请结合以上材料，分析为什么国内外不同的学者分析出来的关于我国宏观税负的结果不同？究竟如何衡量我国的宏观税负水平才算是合理的？</w:t>
      </w:r>
    </w:p>
    <w:p w14:paraId="748159D0">
      <w:pPr>
        <w:pStyle w:val="2"/>
        <w:rPr>
          <w:rFonts w:ascii="仿宋_GB2312" w:hAnsi="仿宋" w:eastAsia="仿宋_GB2312"/>
          <w:b/>
          <w:sz w:val="24"/>
        </w:rPr>
      </w:pPr>
      <w:r>
        <w:rPr>
          <w:rFonts w:hint="eastAsia" w:ascii="仿宋_GB2312" w:hAnsi="仿宋" w:eastAsia="仿宋_GB2312"/>
          <w:b/>
          <w:sz w:val="24"/>
        </w:rPr>
        <w:t>三、计算题（2题，每题10分，共20分）</w:t>
      </w:r>
    </w:p>
    <w:p w14:paraId="650AC740">
      <w:pPr>
        <w:widowControl/>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现有某商场为增值税一般纳税人，20</w:t>
      </w:r>
      <w:r>
        <w:rPr>
          <w:rFonts w:ascii="仿宋" w:hAnsi="仿宋" w:eastAsia="仿宋" w:cs="仿宋"/>
          <w:sz w:val="24"/>
        </w:rPr>
        <w:t>21</w:t>
      </w:r>
      <w:r>
        <w:rPr>
          <w:rFonts w:hint="eastAsia" w:ascii="仿宋" w:hAnsi="仿宋" w:eastAsia="仿宋" w:cs="仿宋"/>
          <w:sz w:val="24"/>
        </w:rPr>
        <w:t>年</w:t>
      </w:r>
      <w:r>
        <w:rPr>
          <w:rFonts w:ascii="仿宋" w:hAnsi="仿宋" w:eastAsia="仿宋" w:cs="仿宋"/>
          <w:sz w:val="24"/>
        </w:rPr>
        <w:t>10</w:t>
      </w:r>
      <w:r>
        <w:rPr>
          <w:rFonts w:hint="eastAsia" w:ascii="仿宋" w:hAnsi="仿宋" w:eastAsia="仿宋" w:cs="仿宋"/>
          <w:sz w:val="24"/>
        </w:rPr>
        <w:t>月发生以下几笔业务，购销货物的增值税税率为13%。</w:t>
      </w:r>
    </w:p>
    <w:p w14:paraId="5D897EEE">
      <w:pPr>
        <w:widowControl/>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（1）7月5日购进货物取得的增值税专用发票上注明的货物金额为</w:t>
      </w:r>
      <w:r>
        <w:rPr>
          <w:rFonts w:ascii="仿宋" w:hAnsi="仿宋" w:eastAsia="仿宋" w:cs="仿宋"/>
          <w:sz w:val="24"/>
        </w:rPr>
        <w:t>8</w:t>
      </w:r>
      <w:r>
        <w:rPr>
          <w:rFonts w:hint="eastAsia" w:ascii="仿宋" w:hAnsi="仿宋" w:eastAsia="仿宋" w:cs="仿宋"/>
          <w:sz w:val="24"/>
        </w:rPr>
        <w:t>00万元，税款为</w:t>
      </w:r>
      <w:r>
        <w:rPr>
          <w:rFonts w:ascii="仿宋" w:hAnsi="仿宋" w:eastAsia="仿宋" w:cs="仿宋"/>
          <w:sz w:val="24"/>
        </w:rPr>
        <w:t>104</w:t>
      </w:r>
      <w:r>
        <w:rPr>
          <w:rFonts w:hint="eastAsia" w:ascii="仿宋" w:hAnsi="仿宋" w:eastAsia="仿宋" w:cs="仿宋"/>
          <w:sz w:val="24"/>
        </w:rPr>
        <w:t>万元。</w:t>
      </w:r>
    </w:p>
    <w:p w14:paraId="719BCAAB">
      <w:pPr>
        <w:widowControl/>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（2）7月12日销售货物，收到含税价款为</w:t>
      </w:r>
      <w:r>
        <w:rPr>
          <w:rFonts w:ascii="仿宋" w:hAnsi="仿宋" w:eastAsia="仿宋" w:cs="仿宋"/>
          <w:sz w:val="24"/>
        </w:rPr>
        <w:t>1808</w:t>
      </w:r>
      <w:r>
        <w:rPr>
          <w:rFonts w:hint="eastAsia" w:ascii="仿宋" w:hAnsi="仿宋" w:eastAsia="仿宋" w:cs="仿宋"/>
          <w:sz w:val="24"/>
        </w:rPr>
        <w:t>万元。</w:t>
      </w:r>
    </w:p>
    <w:p w14:paraId="1DC8B503">
      <w:pPr>
        <w:widowControl/>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（3）7月20日购进一台设备，取得的增值税专用发票上注明设备金额为100万元，税款为13万元。</w:t>
      </w:r>
    </w:p>
    <w:p w14:paraId="4E277093">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要求：根据上述资料，计算该商场20</w:t>
      </w:r>
      <w:r>
        <w:rPr>
          <w:rFonts w:ascii="仿宋" w:hAnsi="仿宋" w:eastAsia="仿宋" w:cs="仿宋"/>
          <w:sz w:val="24"/>
        </w:rPr>
        <w:t>21</w:t>
      </w:r>
      <w:r>
        <w:rPr>
          <w:rFonts w:hint="eastAsia" w:ascii="仿宋" w:hAnsi="仿宋" w:eastAsia="仿宋" w:cs="仿宋"/>
          <w:sz w:val="24"/>
        </w:rPr>
        <w:t>年</w:t>
      </w:r>
      <w:r>
        <w:rPr>
          <w:rFonts w:ascii="仿宋" w:hAnsi="仿宋" w:eastAsia="仿宋" w:cs="仿宋"/>
          <w:sz w:val="24"/>
        </w:rPr>
        <w:t>10</w:t>
      </w:r>
      <w:r>
        <w:rPr>
          <w:rFonts w:hint="eastAsia" w:ascii="仿宋" w:hAnsi="仿宋" w:eastAsia="仿宋" w:cs="仿宋"/>
          <w:sz w:val="24"/>
        </w:rPr>
        <w:t>月应纳增值税。</w:t>
      </w:r>
    </w:p>
    <w:p w14:paraId="2102AE10">
      <w:pPr>
        <w:widowControl/>
        <w:snapToGrid w:val="0"/>
        <w:spacing w:line="360" w:lineRule="auto"/>
        <w:ind w:firstLine="240" w:firstLineChars="1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某居民企业适用的企业所得税税率为2</w:t>
      </w:r>
      <w:r>
        <w:rPr>
          <w:rFonts w:ascii="仿宋" w:hAnsi="仿宋" w:eastAsia="仿宋" w:cs="仿宋"/>
          <w:sz w:val="24"/>
        </w:rPr>
        <w:t>5%</w:t>
      </w:r>
      <w:r>
        <w:rPr>
          <w:rFonts w:hint="eastAsia" w:ascii="仿宋" w:hAnsi="仿宋" w:eastAsia="仿宋" w:cs="仿宋"/>
          <w:sz w:val="24"/>
        </w:rPr>
        <w:t>，2</w:t>
      </w:r>
      <w:r>
        <w:rPr>
          <w:rFonts w:ascii="仿宋" w:hAnsi="仿宋" w:eastAsia="仿宋" w:cs="仿宋"/>
          <w:sz w:val="24"/>
        </w:rPr>
        <w:t>021</w:t>
      </w:r>
      <w:r>
        <w:rPr>
          <w:rFonts w:hint="eastAsia" w:ascii="仿宋" w:hAnsi="仿宋" w:eastAsia="仿宋" w:cs="仿宋"/>
          <w:sz w:val="24"/>
        </w:rPr>
        <w:t>年发生的经营业务如下：</w:t>
      </w:r>
    </w:p>
    <w:p w14:paraId="49D6D291">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（1）全年取得主营业务收入5</w:t>
      </w:r>
      <w:r>
        <w:rPr>
          <w:rFonts w:ascii="仿宋" w:hAnsi="仿宋" w:eastAsia="仿宋" w:cs="仿宋"/>
          <w:sz w:val="24"/>
        </w:rPr>
        <w:t>600</w:t>
      </w:r>
      <w:r>
        <w:rPr>
          <w:rFonts w:hint="eastAsia" w:ascii="仿宋" w:hAnsi="仿宋" w:eastAsia="仿宋" w:cs="仿宋"/>
          <w:sz w:val="24"/>
        </w:rPr>
        <w:t>万元，结转主营业务成本4</w:t>
      </w:r>
      <w:r>
        <w:rPr>
          <w:rFonts w:ascii="仿宋" w:hAnsi="仿宋" w:eastAsia="仿宋" w:cs="仿宋"/>
          <w:sz w:val="24"/>
        </w:rPr>
        <w:t>000</w:t>
      </w:r>
      <w:r>
        <w:rPr>
          <w:rFonts w:hint="eastAsia" w:ascii="仿宋" w:hAnsi="仿宋" w:eastAsia="仿宋" w:cs="仿宋"/>
          <w:sz w:val="24"/>
        </w:rPr>
        <w:t>万元；</w:t>
      </w:r>
    </w:p>
    <w:p w14:paraId="496E4691">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（2）全年取得其他业务收入8</w:t>
      </w:r>
      <w:r>
        <w:rPr>
          <w:rFonts w:ascii="仿宋" w:hAnsi="仿宋" w:eastAsia="仿宋" w:cs="仿宋"/>
          <w:sz w:val="24"/>
        </w:rPr>
        <w:t>00</w:t>
      </w:r>
      <w:r>
        <w:rPr>
          <w:rFonts w:hint="eastAsia" w:ascii="仿宋" w:hAnsi="仿宋" w:eastAsia="仿宋" w:cs="仿宋"/>
          <w:sz w:val="24"/>
        </w:rPr>
        <w:t>万元，结转其他业务成本6</w:t>
      </w:r>
      <w:r>
        <w:rPr>
          <w:rFonts w:ascii="仿宋" w:hAnsi="仿宋" w:eastAsia="仿宋" w:cs="仿宋"/>
          <w:sz w:val="24"/>
        </w:rPr>
        <w:t>94</w:t>
      </w:r>
      <w:r>
        <w:rPr>
          <w:rFonts w:hint="eastAsia" w:ascii="仿宋" w:hAnsi="仿宋" w:eastAsia="仿宋" w:cs="仿宋"/>
          <w:sz w:val="24"/>
        </w:rPr>
        <w:t>万元；</w:t>
      </w:r>
    </w:p>
    <w:p w14:paraId="5473E2CF">
      <w:pPr>
        <w:widowControl/>
        <w:snapToGrid w:val="0"/>
        <w:spacing w:line="360" w:lineRule="auto"/>
        <w:ind w:firstLine="240" w:firstLineChars="100"/>
        <w:rPr>
          <w:rFonts w:ascii="仿宋" w:hAnsi="仿宋" w:eastAsia="仿宋" w:cs="仿宋"/>
          <w:sz w:val="24"/>
        </w:rPr>
      </w:pPr>
      <w:r>
        <w:rPr>
          <w:rFonts w:hint="eastAsia" w:ascii="仿宋" w:hAnsi="仿宋" w:eastAsia="仿宋" w:cs="仿宋"/>
          <w:sz w:val="24"/>
        </w:rPr>
        <w:t>（3）全年取得购买国债利息收入8</w:t>
      </w:r>
      <w:r>
        <w:rPr>
          <w:rFonts w:ascii="仿宋" w:hAnsi="仿宋" w:eastAsia="仿宋" w:cs="仿宋"/>
          <w:sz w:val="24"/>
        </w:rPr>
        <w:t>0</w:t>
      </w:r>
      <w:r>
        <w:rPr>
          <w:rFonts w:hint="eastAsia" w:ascii="仿宋" w:hAnsi="仿宋" w:eastAsia="仿宋" w:cs="仿宋"/>
          <w:sz w:val="24"/>
        </w:rPr>
        <w:t>万元。</w:t>
      </w:r>
    </w:p>
    <w:p w14:paraId="3EC4FEDF">
      <w:pPr>
        <w:widowControl/>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（4）管理费用1</w:t>
      </w:r>
      <w:r>
        <w:rPr>
          <w:rFonts w:ascii="仿宋" w:hAnsi="仿宋" w:eastAsia="仿宋" w:cs="仿宋"/>
          <w:sz w:val="24"/>
        </w:rPr>
        <w:t>50</w:t>
      </w:r>
      <w:r>
        <w:rPr>
          <w:rFonts w:hint="eastAsia" w:ascii="仿宋" w:hAnsi="仿宋" w:eastAsia="仿宋" w:cs="仿宋"/>
          <w:sz w:val="24"/>
        </w:rPr>
        <w:t>万元（其中招待费</w:t>
      </w:r>
      <w:r>
        <w:rPr>
          <w:rFonts w:ascii="仿宋" w:hAnsi="仿宋" w:eastAsia="仿宋" w:cs="仿宋"/>
          <w:sz w:val="24"/>
        </w:rPr>
        <w:t>50</w:t>
      </w:r>
      <w:r>
        <w:rPr>
          <w:rFonts w:hint="eastAsia" w:ascii="仿宋" w:hAnsi="仿宋" w:eastAsia="仿宋" w:cs="仿宋"/>
          <w:sz w:val="24"/>
        </w:rPr>
        <w:t>万元）</w:t>
      </w:r>
    </w:p>
    <w:p w14:paraId="1537DBB3">
      <w:pPr>
        <w:widowControl/>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要求：根据上述资料，计算该企业2</w:t>
      </w:r>
      <w:r>
        <w:rPr>
          <w:rFonts w:ascii="仿宋" w:hAnsi="仿宋" w:eastAsia="仿宋" w:cs="仿宋"/>
          <w:sz w:val="24"/>
        </w:rPr>
        <w:t>021</w:t>
      </w:r>
      <w:r>
        <w:rPr>
          <w:rFonts w:hint="eastAsia" w:ascii="仿宋" w:hAnsi="仿宋" w:eastAsia="仿宋" w:cs="仿宋"/>
          <w:sz w:val="24"/>
        </w:rPr>
        <w:t>年应纳的企业所得税。</w:t>
      </w:r>
    </w:p>
    <w:p w14:paraId="65A89987">
      <w:pPr>
        <w:widowControl/>
        <w:snapToGrid w:val="0"/>
        <w:spacing w:line="360" w:lineRule="auto"/>
        <w:rPr>
          <w:rFonts w:hint="eastAsia" w:ascii="仿宋_GB2312" w:hAnsi="仿宋" w:eastAsia="仿宋_GB2312"/>
          <w:b/>
          <w:sz w:val="24"/>
        </w:rPr>
      </w:pPr>
      <w:r>
        <w:rPr>
          <w:rFonts w:hint="eastAsia" w:ascii="仿宋_GB2312" w:hAnsi="仿宋" w:eastAsia="仿宋_GB2312"/>
          <w:b/>
          <w:sz w:val="24"/>
        </w:rPr>
        <w:t>四、论述题（2题，每题15分，共30分）</w:t>
      </w:r>
    </w:p>
    <w:p w14:paraId="05617D97">
      <w:pPr>
        <w:widowControl/>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1．试根据相机抉择的税收政策作用机理，论述我国当前减税降费的重要意义。</w:t>
      </w:r>
    </w:p>
    <w:p w14:paraId="79C0BFDB">
      <w:pPr>
        <w:widowControl/>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2．《中华人民共和国国民经济和社会发展第十四个五年规划和2035年远景目标纲要》</w:t>
      </w:r>
      <w:r>
        <w:rPr>
          <w:rFonts w:ascii="仿宋" w:hAnsi="仿宋" w:eastAsia="仿宋" w:cs="仿宋"/>
          <w:sz w:val="24"/>
        </w:rPr>
        <w:t>提出</w:t>
      </w:r>
      <w:r>
        <w:rPr>
          <w:rFonts w:hint="eastAsia" w:ascii="仿宋" w:hAnsi="仿宋" w:eastAsia="仿宋" w:cs="仿宋"/>
          <w:sz w:val="24"/>
        </w:rPr>
        <w:t>要健全地方税体系，请论述我国下一步如何健全地方税体系？</w:t>
      </w:r>
    </w:p>
    <w:p w14:paraId="4F158716">
      <w:pPr>
        <w:widowControl/>
        <w:snapToGrid w:val="0"/>
        <w:spacing w:line="360" w:lineRule="auto"/>
        <w:rPr>
          <w:rFonts w:hint="eastAsia" w:ascii="宋体" w:hAnsi="宋体"/>
          <w:sz w:val="24"/>
        </w:rPr>
      </w:pPr>
    </w:p>
    <w:p w14:paraId="01D651E0">
      <w:pPr>
        <w:widowControl/>
        <w:snapToGrid w:val="0"/>
        <w:spacing w:line="360" w:lineRule="auto"/>
        <w:rPr>
          <w:rFonts w:hint="eastAsia" w:ascii="仿宋" w:hAnsi="仿宋" w:eastAsia="仿宋" w:cs="仿宋"/>
          <w:b/>
          <w:kern w:val="0"/>
          <w:sz w:val="24"/>
        </w:rPr>
      </w:pPr>
    </w:p>
    <w:p w14:paraId="08E16236">
      <w:pPr>
        <w:widowControl/>
        <w:snapToGrid w:val="0"/>
        <w:rPr>
          <w:rFonts w:hint="eastAsia" w:ascii="仿宋_GB2312" w:hAnsi="仿宋" w:eastAsia="仿宋_GB2312"/>
          <w:b/>
          <w:sz w:val="24"/>
        </w:rPr>
      </w:pPr>
    </w:p>
    <w:p w14:paraId="33DAA7D2">
      <w:pPr>
        <w:widowControl/>
        <w:snapToGrid w:val="0"/>
        <w:jc w:val="left"/>
        <w:rPr>
          <w:rFonts w:hint="eastAsia" w:ascii="仿宋_GB2312" w:eastAsia="仿宋_GB2312"/>
          <w:sz w:val="24"/>
        </w:rPr>
      </w:pPr>
    </w:p>
    <w:p w14:paraId="5C369392">
      <w:pPr>
        <w:adjustRightInd w:val="0"/>
        <w:snapToGrid w:val="0"/>
        <w:rPr>
          <w:rFonts w:hint="eastAsia"/>
          <w:sz w:val="24"/>
        </w:rPr>
      </w:pPr>
    </w:p>
    <w:p w14:paraId="48358DD2">
      <w:pPr>
        <w:tabs>
          <w:tab w:val="left" w:pos="0"/>
        </w:tabs>
        <w:spacing w:line="360" w:lineRule="auto"/>
        <w:rPr>
          <w:rFonts w:ascii="仿宋" w:hAnsi="仿宋" w:eastAsia="仿宋" w:cs="仿宋"/>
          <w:b/>
          <w:sz w:val="24"/>
        </w:rPr>
      </w:pPr>
    </w:p>
    <w:p w14:paraId="19899DA7">
      <w:pPr>
        <w:adjustRightInd w:val="0"/>
        <w:snapToGrid w:val="0"/>
        <w:rPr>
          <w:sz w:val="24"/>
        </w:rPr>
      </w:pPr>
    </w:p>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F9BCA">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640815C2">
    <w:pPr>
      <w:pStyle w:val="6"/>
      <w:jc w:val="both"/>
    </w:pPr>
  </w:p>
  <w:p w14:paraId="092EB3D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F36A2">
    <w:pPr>
      <w:pStyle w:val="5"/>
      <w:framePr w:wrap="around" w:vAnchor="text" w:hAnchor="margin" w:xAlign="center" w:y="1"/>
      <w:rPr>
        <w:rStyle w:val="11"/>
      </w:rPr>
    </w:pPr>
    <w:r>
      <w:fldChar w:fldCharType="begin"/>
    </w:r>
    <w:r>
      <w:rPr>
        <w:rStyle w:val="11"/>
      </w:rPr>
      <w:instrText xml:space="preserve">PAGE  </w:instrText>
    </w:r>
    <w:r>
      <w:fldChar w:fldCharType="end"/>
    </w:r>
  </w:p>
  <w:p w14:paraId="4FFC5E3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25194">
    <w:pPr>
      <w:pStyle w:val="6"/>
      <w:rPr>
        <w:rFonts w:ascii="宋体" w:hAnsi="宋体"/>
        <w:b/>
        <w:color w:val="FF0000"/>
      </w:rPr>
    </w:pPr>
    <w:r>
      <w:rPr>
        <w:rFonts w:hint="eastAsia" w:ascii="宋体" w:hAnsi="宋体"/>
        <w:b/>
        <w:color w:val="FF0000"/>
      </w:rPr>
      <w:t>欢迎报考广东财经大学硕士研究生，祝你考试成功！（</w:t>
    </w:r>
    <w:r>
      <w:rPr>
        <w:rFonts w:hint="eastAsia" w:ascii="宋体" w:hAnsi="宋体"/>
        <w:b/>
        <w:color w:val="FF0000"/>
        <w:kern w:val="0"/>
        <w:szCs w:val="21"/>
      </w:rPr>
      <w:t xml:space="preserve">第 </w:t>
    </w:r>
    <w:r>
      <w:rPr>
        <w:rFonts w:ascii="宋体" w:hAnsi="宋体"/>
        <w:b/>
        <w:color w:val="FF0000"/>
        <w:kern w:val="0"/>
        <w:szCs w:val="21"/>
      </w:rPr>
      <w:fldChar w:fldCharType="begin"/>
    </w:r>
    <w:r>
      <w:rPr>
        <w:rFonts w:ascii="宋体" w:hAnsi="宋体"/>
        <w:b/>
        <w:color w:val="FF0000"/>
        <w:kern w:val="0"/>
        <w:szCs w:val="21"/>
      </w:rPr>
      <w:instrText xml:space="preserve"> PAGE </w:instrText>
    </w:r>
    <w:r>
      <w:rPr>
        <w:rFonts w:ascii="宋体" w:hAnsi="宋体"/>
        <w:b/>
        <w:color w:val="FF0000"/>
        <w:kern w:val="0"/>
        <w:szCs w:val="21"/>
      </w:rPr>
      <w:fldChar w:fldCharType="separate"/>
    </w:r>
    <w:r>
      <w:rPr>
        <w:rFonts w:ascii="宋体" w:hAnsi="宋体"/>
        <w:b/>
        <w:color w:val="FF0000"/>
        <w:kern w:val="0"/>
        <w:szCs w:val="21"/>
      </w:rPr>
      <w:t>2</w:t>
    </w:r>
    <w:r>
      <w:rPr>
        <w:rFonts w:ascii="宋体" w:hAnsi="宋体"/>
        <w:b/>
        <w:color w:val="FF0000"/>
        <w:kern w:val="0"/>
        <w:szCs w:val="21"/>
      </w:rPr>
      <w:fldChar w:fldCharType="end"/>
    </w:r>
    <w:r>
      <w:rPr>
        <w:rFonts w:hint="eastAsia" w:ascii="宋体" w:hAnsi="宋体"/>
        <w:b/>
        <w:color w:val="FF0000"/>
        <w:kern w:val="0"/>
        <w:szCs w:val="21"/>
      </w:rPr>
      <w:t xml:space="preserve"> 页 共 </w:t>
    </w:r>
    <w:r>
      <w:rPr>
        <w:rFonts w:ascii="宋体" w:hAnsi="宋体"/>
        <w:b/>
        <w:color w:val="FF0000"/>
        <w:kern w:val="0"/>
        <w:szCs w:val="21"/>
      </w:rPr>
      <w:fldChar w:fldCharType="begin"/>
    </w:r>
    <w:r>
      <w:rPr>
        <w:rFonts w:ascii="宋体" w:hAnsi="宋体"/>
        <w:b/>
        <w:color w:val="FF0000"/>
        <w:kern w:val="0"/>
        <w:szCs w:val="21"/>
      </w:rPr>
      <w:instrText xml:space="preserve"> NUMPAGES </w:instrText>
    </w:r>
    <w:r>
      <w:rPr>
        <w:rFonts w:ascii="宋体" w:hAnsi="宋体"/>
        <w:b/>
        <w:color w:val="FF0000"/>
        <w:kern w:val="0"/>
        <w:szCs w:val="21"/>
      </w:rPr>
      <w:fldChar w:fldCharType="separate"/>
    </w:r>
    <w:r>
      <w:rPr>
        <w:rFonts w:ascii="宋体" w:hAnsi="宋体"/>
        <w:b/>
        <w:color w:val="FF0000"/>
        <w:kern w:val="0"/>
        <w:szCs w:val="21"/>
      </w:rPr>
      <w:t>3</w:t>
    </w:r>
    <w:r>
      <w:rPr>
        <w:rFonts w:ascii="宋体" w:hAnsi="宋体"/>
        <w:b/>
        <w:color w:val="FF0000"/>
        <w:kern w:val="0"/>
        <w:szCs w:val="21"/>
      </w:rPr>
      <w:fldChar w:fldCharType="end"/>
    </w:r>
    <w:r>
      <w:rPr>
        <w:rFonts w:hint="eastAsia" w:ascii="宋体" w:hAnsi="宋体"/>
        <w:b/>
        <w:color w:val="FF0000"/>
        <w:kern w:val="0"/>
        <w:szCs w:val="21"/>
      </w:rPr>
      <w:t xml:space="preserve"> 页</w:t>
    </w:r>
    <w:r>
      <w:rPr>
        <w:rFonts w:hint="eastAsia" w:ascii="宋体" w:hAnsi="宋体"/>
        <w:b/>
        <w:color w:val="FF000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D2E3E"/>
    <w:multiLevelType w:val="singleLevel"/>
    <w:tmpl w:val="0A9D2E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mOGVjZDgwMjI3NzdiYzY2OWI0OWMxMGRkZmExNjUifQ=="/>
  </w:docVars>
  <w:rsids>
    <w:rsidRoot w:val="00172A27"/>
    <w:rsid w:val="000E7960"/>
    <w:rsid w:val="00172A27"/>
    <w:rsid w:val="00273E96"/>
    <w:rsid w:val="00336DE7"/>
    <w:rsid w:val="003E5450"/>
    <w:rsid w:val="005F07E7"/>
    <w:rsid w:val="007C5BED"/>
    <w:rsid w:val="0083131E"/>
    <w:rsid w:val="00B52997"/>
    <w:rsid w:val="00BF4B54"/>
    <w:rsid w:val="00EA31A7"/>
    <w:rsid w:val="1EF41D5E"/>
    <w:rsid w:val="440305EA"/>
    <w:rsid w:val="486E1A5D"/>
    <w:rsid w:val="48EA34D8"/>
    <w:rsid w:val="54807701"/>
    <w:rsid w:val="73A2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Plain Text"/>
    <w:basedOn w:val="1"/>
    <w:qFormat/>
    <w:uiPriority w:val="0"/>
    <w:rPr>
      <w:rFonts w:ascii="宋体" w:hAnsi="Courier New"/>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customStyle="1" w:styleId="12">
    <w:name w:val="批注文字 字符"/>
    <w:link w:val="2"/>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2113</Words>
  <Characters>2241</Characters>
  <Lines>1</Lines>
  <Paragraphs>4</Paragraphs>
  <TotalTime>6</TotalTime>
  <ScaleCrop>false</ScaleCrop>
  <LinksUpToDate>false</LinksUpToDate>
  <CharactersWithSpaces>2252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2022-11-14T00:16:00Z</dcterms:created>
  <dc:creator>微软用户</dc:creator>
  <cp:lastModifiedBy>~ing</cp:lastModifiedBy>
  <cp:lastPrinted>2021-11-22T08:40:00Z</cp:lastPrinted>
  <dcterms:modified xsi:type="dcterms:W3CDTF">2025-04-24T08:21:33Z</dcterms:modified>
  <dc:title>广东商学院硕士研究生入学考试试卷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CD8D9FBE63DD46A6B4DA1C4CCA86CFBE_13</vt:lpwstr>
  </property>
  <property fmtid="{D5CDD505-2E9C-101B-9397-08002B2CF9AE}" pid="4" name="KSOTemplateDocerSaveRecord">
    <vt:lpwstr>eyJoZGlkIjoiMzlhMDAzMTNiM2NjMzJjMjdmNjM4N2FlZjkxNTE2OWEiLCJ1c2VySWQiOiI0OTQzNDM1MTAifQ==</vt:lpwstr>
  </property>
</Properties>
</file>