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spacing w:line="560" w:lineRule="exact"/>
        <w:ind w:firstLine="560" w:firstLineChars="200"/>
        <w:jc w:val="left"/>
        <w:rPr>
          <w:rFonts w:hint="eastAsia" w:ascii="仿宋_GB2312" w:hAnsi="仿宋_GB2312" w:eastAsia="仿宋_GB2312" w:cs="仿宋_GB2312"/>
          <w:bCs/>
          <w:color w:val="FF0000"/>
          <w:sz w:val="28"/>
          <w:szCs w:val="28"/>
        </w:rPr>
      </w:pPr>
      <w:r>
        <w:rPr>
          <w:rFonts w:hint="eastAsia" w:ascii="仿宋_GB2312" w:hAnsi="仿宋_GB2312" w:eastAsia="仿宋_GB2312" w:cs="仿宋_GB2312"/>
          <w:bCs/>
          <w:sz w:val="28"/>
          <w:szCs w:val="28"/>
        </w:rPr>
        <w:t xml:space="preserve">附件2 </w:t>
      </w:r>
      <w:r>
        <w:rPr>
          <w:rFonts w:hint="eastAsia" w:ascii="仿宋_GB2312" w:hAnsi="仿宋_GB2312" w:eastAsia="仿宋_GB2312" w:cs="仿宋_GB2312"/>
          <w:bCs/>
          <w:color w:val="FF0000"/>
          <w:sz w:val="28"/>
          <w:szCs w:val="28"/>
        </w:rPr>
        <w:t xml:space="preserve">                 </w:t>
      </w:r>
    </w:p>
    <w:p w14:paraId="56AE3759">
      <w:pPr>
        <w:spacing w:line="560" w:lineRule="exact"/>
        <w:ind w:firstLine="1044" w:firstLineChars="200"/>
        <w:jc w:val="center"/>
        <w:rPr>
          <w:rFonts w:hint="eastAsia" w:ascii="方正小标宋简体" w:hAnsi="方正小标宋简体" w:eastAsia="方正小标宋简体" w:cs="方正小标宋简体"/>
          <w:b/>
          <w:sz w:val="52"/>
          <w:szCs w:val="52"/>
        </w:rPr>
      </w:pPr>
    </w:p>
    <w:p w14:paraId="34BDC283">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财政学（020203）</w:t>
      </w:r>
    </w:p>
    <w:p w14:paraId="5CB8AEC8">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自命题题型及大纲</w:t>
      </w:r>
    </w:p>
    <w:p w14:paraId="27880B67">
      <w:pPr>
        <w:spacing w:line="560" w:lineRule="exact"/>
        <w:ind w:firstLine="643" w:firstLineChars="200"/>
        <w:jc w:val="center"/>
        <w:rPr>
          <w:rFonts w:hint="eastAsia" w:ascii="黑体" w:hAnsi="黑体" w:eastAsia="黑体" w:cs="黑体"/>
          <w:b/>
          <w:sz w:val="32"/>
          <w:szCs w:val="32"/>
        </w:rPr>
      </w:pPr>
    </w:p>
    <w:p w14:paraId="2317F7B2">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初试：801|经济学基础</w:t>
      </w:r>
    </w:p>
    <w:p w14:paraId="18A346E8">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一、名词解释（6题，每题5分，共30分）</w:t>
      </w:r>
    </w:p>
    <w:p w14:paraId="4AE3FFAF">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二、简答题（6题，每题10分，共60分）</w:t>
      </w:r>
    </w:p>
    <w:p w14:paraId="375F78E5">
      <w:pPr>
        <w:spacing w:line="560" w:lineRule="exact"/>
        <w:ind w:firstLine="640" w:firstLineChars="200"/>
        <w:jc w:val="left"/>
        <w:rPr>
          <w:rFonts w:hint="eastAsia" w:ascii="仿宋_GB2312" w:hAnsi="仿宋_GB2312" w:eastAsia="仿宋_GB2312" w:cs="仿宋_GB2312"/>
          <w:bCs/>
          <w:color w:val="0070C0"/>
          <w:sz w:val="32"/>
          <w:szCs w:val="32"/>
        </w:rPr>
      </w:pPr>
      <w:r>
        <w:rPr>
          <w:rFonts w:hint="eastAsia" w:ascii="仿宋_GB2312" w:hAnsi="仿宋_GB2312" w:eastAsia="仿宋_GB2312" w:cs="仿宋_GB2312"/>
          <w:bCs/>
          <w:sz w:val="32"/>
          <w:szCs w:val="32"/>
        </w:rPr>
        <w:t>三、论述题（2题，每题30分，共60分）</w:t>
      </w:r>
    </w:p>
    <w:p w14:paraId="1EFA6F0E">
      <w:pPr>
        <w:spacing w:line="560" w:lineRule="exact"/>
        <w:ind w:firstLine="643" w:firstLineChars="200"/>
        <w:jc w:val="center"/>
        <w:rPr>
          <w:rFonts w:hint="eastAsia" w:ascii="黑体" w:hAnsi="黑体" w:eastAsia="黑体" w:cs="黑体"/>
          <w:b/>
          <w:sz w:val="32"/>
          <w:szCs w:val="32"/>
        </w:rPr>
      </w:pPr>
    </w:p>
    <w:p w14:paraId="213CCE9F">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32AF63A3">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高鸿业：《西方经济学（宏/微观）》第8版 ，中国人民大学出版社2021年。</w:t>
      </w:r>
    </w:p>
    <w:p w14:paraId="5ACF1F60">
      <w:pPr>
        <w:spacing w:line="560" w:lineRule="exact"/>
        <w:ind w:firstLine="643" w:firstLineChars="200"/>
        <w:jc w:val="center"/>
        <w:rPr>
          <w:rFonts w:hint="eastAsia" w:ascii="黑体" w:hAnsi="黑体" w:eastAsia="黑体" w:cs="黑体"/>
          <w:b/>
          <w:sz w:val="32"/>
          <w:szCs w:val="32"/>
        </w:rPr>
      </w:pPr>
    </w:p>
    <w:p w14:paraId="177CCBF1">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6752D1A2">
      <w:pPr>
        <w:widowControl/>
        <w:snapToGrid w:val="0"/>
        <w:ind w:firstLine="48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6F411E79">
      <w:pPr>
        <w:widowControl/>
        <w:snapToGrid w:val="0"/>
        <w:rPr>
          <w:rFonts w:hint="eastAsia" w:ascii="仿宋_GB2312" w:hAnsi="仿宋_GB2312" w:eastAsia="仿宋_GB2312" w:cs="仿宋_GB2312"/>
          <w:b/>
          <w:bCs/>
          <w:color w:val="000000"/>
          <w:sz w:val="24"/>
          <w:shd w:val="clear" w:color="auto" w:fill="FFFFFF"/>
        </w:rPr>
      </w:pPr>
    </w:p>
    <w:p w14:paraId="303AF401">
      <w:pPr>
        <w:widowControl/>
        <w:snapToGrid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
          <w:bCs/>
          <w:color w:val="000000"/>
          <w:sz w:val="24"/>
          <w:shd w:val="clear" w:color="auto" w:fill="FFFFFF"/>
        </w:rPr>
        <w:t>第一部分  微观经济理论</w:t>
      </w:r>
    </w:p>
    <w:p w14:paraId="60AFA181">
      <w:pPr>
        <w:widowControl/>
        <w:snapToGrid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Cs/>
          <w:color w:val="000000"/>
          <w:sz w:val="24"/>
          <w:shd w:val="clear" w:color="auto" w:fill="FFFFFF"/>
        </w:rPr>
        <w:t>一、需求、供给与价格理论</w:t>
      </w:r>
    </w:p>
    <w:p w14:paraId="4CD3B538">
      <w:pPr>
        <w:numPr>
          <w:ilvl w:val="0"/>
          <w:numId w:val="1"/>
        </w:numPr>
        <w:shd w:val="solid" w:color="FFFFFF" w:fill="auto"/>
        <w:autoSpaceDN w:val="0"/>
        <w:rPr>
          <w:rFonts w:hint="eastAsia" w:ascii="仿宋_GB2312" w:hAnsi="仿宋_GB2312" w:eastAsia="仿宋_GB2312" w:cs="仿宋_GB2312"/>
          <w:color w:val="000000"/>
          <w:spacing w:val="-17"/>
          <w:sz w:val="24"/>
          <w:shd w:val="clear" w:color="auto" w:fill="FFFFFF"/>
        </w:rPr>
      </w:pPr>
      <w:r>
        <w:rPr>
          <w:rFonts w:hint="eastAsia" w:ascii="仿宋_GB2312" w:hAnsi="仿宋_GB2312" w:eastAsia="仿宋_GB2312" w:cs="仿宋_GB2312"/>
          <w:color w:val="000000"/>
          <w:spacing w:val="-17"/>
          <w:sz w:val="24"/>
          <w:shd w:val="clear" w:color="auto" w:fill="FFFFFF"/>
        </w:rPr>
        <w:t>需求理论</w:t>
      </w:r>
    </w:p>
    <w:p w14:paraId="70DBF9A3">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pacing w:val="-13"/>
          <w:sz w:val="24"/>
          <w:shd w:val="clear" w:color="auto" w:fill="FFFFFF"/>
        </w:rPr>
        <w:t xml:space="preserve">     </w:t>
      </w:r>
      <w:r>
        <w:rPr>
          <w:rFonts w:hint="eastAsia" w:ascii="仿宋_GB2312" w:hAnsi="仿宋_GB2312" w:eastAsia="仿宋_GB2312" w:cs="仿宋_GB2312"/>
          <w:color w:val="000000"/>
          <w:sz w:val="24"/>
          <w:shd w:val="clear" w:color="auto" w:fill="FFFFFF"/>
        </w:rPr>
        <w:t>需求、需求表、需求曲线与需求规律      影响需求的因素：需求函数</w:t>
      </w:r>
    </w:p>
    <w:p w14:paraId="4204C951">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需求定理                              需求量的变动与需求的变动</w:t>
      </w:r>
    </w:p>
    <w:p w14:paraId="4CABFFDE">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供给理论</w:t>
      </w:r>
    </w:p>
    <w:p w14:paraId="7D83C083">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pacing w:val="-13"/>
          <w:sz w:val="24"/>
          <w:shd w:val="clear" w:color="auto" w:fill="FFFFFF"/>
        </w:rPr>
        <w:t xml:space="preserve">    </w:t>
      </w:r>
      <w:r>
        <w:rPr>
          <w:rFonts w:hint="eastAsia" w:ascii="仿宋_GB2312" w:hAnsi="仿宋_GB2312" w:eastAsia="仿宋_GB2312" w:cs="仿宋_GB2312"/>
          <w:color w:val="000000"/>
          <w:sz w:val="24"/>
          <w:shd w:val="clear" w:color="auto" w:fill="FFFFFF"/>
        </w:rPr>
        <w:t xml:space="preserve"> 供给、供给表、供给曲线                影响供给的因素：供给函数</w:t>
      </w:r>
    </w:p>
    <w:p w14:paraId="427D4BC3">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供给定理                              供给量的变动与供给的变动</w:t>
      </w:r>
    </w:p>
    <w:p w14:paraId="5BD06083">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价格的决定</w:t>
      </w:r>
    </w:p>
    <w:p w14:paraId="64137846">
      <w:pPr>
        <w:shd w:val="solid" w:color="FFFFFF" w:fill="auto"/>
        <w:autoSpaceDN w:val="0"/>
        <w:ind w:firstLine="48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均衡价格含义及形成                    需求与供给变动对均衡的影响</w:t>
      </w:r>
    </w:p>
    <w:p w14:paraId="59FA0AD7">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需求价格弹性</w:t>
      </w:r>
    </w:p>
    <w:p w14:paraId="687ECC25">
      <w:pPr>
        <w:shd w:val="solid" w:color="FFFFFF" w:fill="auto"/>
        <w:autoSpaceDN w:val="0"/>
        <w:ind w:firstLine="48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需求价格弹性的含义与分类              影响需求弹性的因素</w:t>
      </w:r>
    </w:p>
    <w:p w14:paraId="636A92D0">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弹性理论的运用：需求弹性与总收益</w:t>
      </w:r>
    </w:p>
    <w:p w14:paraId="0A8F1A92">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Cs/>
          <w:color w:val="000000"/>
          <w:sz w:val="24"/>
          <w:shd w:val="clear" w:color="auto" w:fill="FFFFFF"/>
        </w:rPr>
        <w:t>二、消费者行为理论（效用理论）</w:t>
      </w:r>
    </w:p>
    <w:p w14:paraId="2EFB00D2">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效用</w:t>
      </w:r>
    </w:p>
    <w:p w14:paraId="6E5B5174">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基数效用论与序数效用论     总效用与边际效用      边际效用递减规律</w:t>
      </w:r>
    </w:p>
    <w:p w14:paraId="4050AED3">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序数效用论</w:t>
      </w:r>
    </w:p>
    <w:p w14:paraId="724FACD7">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无差异曲线及特征           消费可能线（预算线）   消费者均衡</w:t>
      </w:r>
    </w:p>
    <w:p w14:paraId="75A6AC4A">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消费者行为理论的运用</w:t>
      </w:r>
    </w:p>
    <w:p w14:paraId="162C7A36">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消费者剩余                    消费者行为与需求定理</w:t>
      </w:r>
    </w:p>
    <w:p w14:paraId="43592FAD">
      <w:pPr>
        <w:shd w:val="solid" w:color="FFFFFF" w:fill="auto"/>
        <w:autoSpaceDN w:val="0"/>
        <w:rPr>
          <w:rFonts w:hint="eastAsia" w:ascii="仿宋_GB2312" w:hAnsi="仿宋_GB2312" w:eastAsia="仿宋_GB2312" w:cs="仿宋_GB2312"/>
          <w:b/>
          <w:bCs/>
          <w:color w:val="000000"/>
          <w:sz w:val="24"/>
          <w:shd w:val="clear" w:color="auto" w:fill="FFFFFF"/>
        </w:rPr>
      </w:pPr>
      <w:r>
        <w:rPr>
          <w:rFonts w:hint="eastAsia" w:ascii="仿宋_GB2312" w:hAnsi="仿宋_GB2312" w:eastAsia="仿宋_GB2312" w:cs="仿宋_GB2312"/>
          <w:bCs/>
          <w:color w:val="000000"/>
          <w:sz w:val="24"/>
          <w:shd w:val="clear" w:color="auto" w:fill="FFFFFF"/>
        </w:rPr>
        <w:t>三、生产理论</w:t>
      </w:r>
    </w:p>
    <w:p w14:paraId="4F86D351">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生产要素与生产函数</w:t>
      </w:r>
    </w:p>
    <w:p w14:paraId="0265B19B">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边际收益递减规律</w:t>
      </w:r>
    </w:p>
    <w:p w14:paraId="125B3F5C">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总产量、平均产量、边际产量的关系</w:t>
      </w:r>
    </w:p>
    <w:p w14:paraId="519A5ACE">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等产量线与等成本线</w:t>
      </w:r>
    </w:p>
    <w:p w14:paraId="299A6C06">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规模报酬</w:t>
      </w:r>
    </w:p>
    <w:p w14:paraId="242EFE32">
      <w:pPr>
        <w:shd w:val="solid" w:color="FFFFFF" w:fill="auto"/>
        <w:autoSpaceDN w:val="0"/>
        <w:rPr>
          <w:rFonts w:hint="eastAsia" w:ascii="仿宋_GB2312" w:hAnsi="仿宋_GB2312" w:eastAsia="仿宋_GB2312" w:cs="仿宋_GB2312"/>
          <w:bCs/>
          <w:color w:val="000000"/>
          <w:sz w:val="24"/>
          <w:shd w:val="clear" w:color="auto" w:fill="FFFFFF"/>
        </w:rPr>
      </w:pPr>
      <w:r>
        <w:rPr>
          <w:rFonts w:hint="eastAsia" w:ascii="仿宋_GB2312" w:hAnsi="仿宋_GB2312" w:eastAsia="仿宋_GB2312" w:cs="仿宋_GB2312"/>
          <w:bCs/>
          <w:color w:val="000000"/>
          <w:sz w:val="24"/>
          <w:shd w:val="clear" w:color="auto" w:fill="FFFFFF"/>
        </w:rPr>
        <w:t>四、成本与收益理论</w:t>
      </w:r>
    </w:p>
    <w:p w14:paraId="39DA79BD">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成本</w:t>
      </w:r>
    </w:p>
    <w:p w14:paraId="0D7D1CA2">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会计成本与机会成本             机会成本在企业决策中的作用</w:t>
      </w:r>
    </w:p>
    <w:p w14:paraId="13C02595">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短期成本</w:t>
      </w:r>
    </w:p>
    <w:p w14:paraId="4D6E777B">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短期成本的分类                 各类短期成本的变动规律及其关系</w:t>
      </w:r>
    </w:p>
    <w:p w14:paraId="21EA85EC">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长期成本</w:t>
      </w:r>
    </w:p>
    <w:p w14:paraId="3D207937">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长期总成本                     长期平均成本          长期边际成本</w:t>
      </w:r>
    </w:p>
    <w:p w14:paraId="21D6FB97">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收益与利润最大化</w:t>
      </w:r>
    </w:p>
    <w:p w14:paraId="4F7E83B5">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总收益、平均收益与边际收益     利润最大化原则</w:t>
      </w:r>
    </w:p>
    <w:p w14:paraId="438F84E7">
      <w:pPr>
        <w:shd w:val="solid" w:color="FFFFFF" w:fill="auto"/>
        <w:autoSpaceDN w:val="0"/>
        <w:rPr>
          <w:rFonts w:hint="eastAsia" w:ascii="仿宋_GB2312" w:hAnsi="仿宋_GB2312" w:eastAsia="仿宋_GB2312" w:cs="仿宋_GB2312"/>
          <w:b/>
          <w:bCs/>
          <w:color w:val="000000"/>
          <w:sz w:val="24"/>
          <w:shd w:val="clear" w:color="auto" w:fill="FFFFFF"/>
        </w:rPr>
      </w:pPr>
      <w:r>
        <w:rPr>
          <w:rFonts w:hint="eastAsia" w:ascii="仿宋_GB2312" w:hAnsi="仿宋_GB2312" w:eastAsia="仿宋_GB2312" w:cs="仿宋_GB2312"/>
          <w:bCs/>
          <w:color w:val="000000"/>
          <w:sz w:val="24"/>
          <w:shd w:val="clear" w:color="auto" w:fill="FFFFFF"/>
        </w:rPr>
        <w:t>五、竞争市场理论</w:t>
      </w:r>
    </w:p>
    <w:p w14:paraId="73EA7D10">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市场结构</w:t>
      </w:r>
    </w:p>
    <w:p w14:paraId="05CCC547">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市场结构类型                   市场结构与企业行为的关系</w:t>
      </w:r>
    </w:p>
    <w:p w14:paraId="1BB8EF04">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完全竞争市场</w:t>
      </w:r>
    </w:p>
    <w:p w14:paraId="20B6251A">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完全竞争市场含义与特征     完全竞争市场需求曲线、平均收益与边际收益</w:t>
      </w:r>
    </w:p>
    <w:p w14:paraId="06BA1637">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利润最大化的基本原则       完全竞争市场上的短期均衡与长期均衡</w:t>
      </w:r>
    </w:p>
    <w:p w14:paraId="2BF2DF33">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非完全竞争市场</w:t>
      </w:r>
    </w:p>
    <w:p w14:paraId="1F69693E">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完全垄断、垄断竞争和寡头垄断市场的条件及其特征</w:t>
      </w:r>
    </w:p>
    <w:p w14:paraId="29F72E77">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完全垄断厂商的需求曲线、平均收益与边际收益</w:t>
      </w:r>
    </w:p>
    <w:p w14:paraId="0ABE54E3">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垄断市场上的短期均衡与长期均衡（了解）</w:t>
      </w:r>
    </w:p>
    <w:p w14:paraId="42CB5125">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垄断竞争与完全竞争的比较</w:t>
      </w:r>
    </w:p>
    <w:p w14:paraId="0CF4D9A0">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   垄断竞争市场上的产品差别竞争    </w:t>
      </w:r>
    </w:p>
    <w:p w14:paraId="284D9928">
      <w:pPr>
        <w:shd w:val="solid" w:color="FFFFFF" w:fill="auto"/>
        <w:autoSpaceDN w:val="0"/>
        <w:rPr>
          <w:rFonts w:hint="eastAsia" w:ascii="仿宋_GB2312" w:hAnsi="仿宋_GB2312" w:eastAsia="仿宋_GB2312" w:cs="仿宋_GB2312"/>
          <w:b/>
          <w:bCs/>
          <w:color w:val="000000"/>
          <w:sz w:val="24"/>
          <w:shd w:val="clear" w:color="auto" w:fill="FFFFFF"/>
        </w:rPr>
      </w:pPr>
    </w:p>
    <w:p w14:paraId="43F958B1">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
          <w:bCs/>
          <w:color w:val="000000"/>
          <w:sz w:val="24"/>
          <w:shd w:val="clear" w:color="auto" w:fill="FFFFFF"/>
        </w:rPr>
        <w:t>第二部分  宏观经济理论</w:t>
      </w:r>
    </w:p>
    <w:p w14:paraId="4FCC4AE0">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Cs/>
          <w:color w:val="000000"/>
          <w:sz w:val="24"/>
          <w:shd w:val="clear" w:color="auto" w:fill="FFFFFF"/>
        </w:rPr>
        <w:t>一、国民收入决定理论</w:t>
      </w:r>
    </w:p>
    <w:p w14:paraId="6B6165A3">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国内生产总值</w:t>
      </w:r>
    </w:p>
    <w:p w14:paraId="12851E7F">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国内生产总值的含义                       </w:t>
      </w:r>
    </w:p>
    <w:p w14:paraId="17EFA06B">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国内生产总值的计算方法</w:t>
      </w:r>
    </w:p>
    <w:p w14:paraId="5EE9D7C6">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实际国内生产总值与名义国内生产总值      </w:t>
      </w:r>
    </w:p>
    <w:p w14:paraId="4C07BBE4">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国内生产总值与人均国内生产总值</w:t>
      </w:r>
    </w:p>
    <w:p w14:paraId="5FC0086C">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消费函数、储蓄函数</w:t>
      </w:r>
    </w:p>
    <w:p w14:paraId="650FF4F8">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乘数理论</w:t>
      </w:r>
    </w:p>
    <w:p w14:paraId="3035B0DA">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其他宏观经济指标（了解）</w:t>
      </w:r>
    </w:p>
    <w:p w14:paraId="16CE5E1C">
      <w:pPr>
        <w:shd w:val="solid" w:color="FFFFFF" w:fill="auto"/>
        <w:autoSpaceDN w:val="0"/>
        <w:ind w:firstLine="48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物价指数                       失业率</w:t>
      </w:r>
    </w:p>
    <w:p w14:paraId="05FD1385">
      <w:p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bCs/>
          <w:color w:val="000000"/>
          <w:sz w:val="24"/>
          <w:shd w:val="clear" w:color="auto" w:fill="FFFFFF"/>
        </w:rPr>
        <w:t>二、产品市场和货币市场的一般均衡理论</w:t>
      </w:r>
    </w:p>
    <w:p w14:paraId="58E28365">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投资的决定</w:t>
      </w:r>
    </w:p>
    <w:p w14:paraId="04D7AEBC">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实际利率与投资                  边际效率</w:t>
      </w:r>
    </w:p>
    <w:p w14:paraId="61570B22">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投资边际效率曲线                预期收益与投资</w:t>
      </w:r>
    </w:p>
    <w:p w14:paraId="6352F0F7">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商品市场的均衡（IS）曲线</w:t>
      </w:r>
    </w:p>
    <w:p w14:paraId="7FF316DB">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货币市场的均衡（LM）曲线</w:t>
      </w:r>
    </w:p>
    <w:p w14:paraId="2BC0DBAD">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利率的决定</w:t>
      </w:r>
    </w:p>
    <w:p w14:paraId="20B8491A">
      <w:pPr>
        <w:shd w:val="solid" w:color="FFFFFF" w:fill="auto"/>
        <w:autoSpaceDN w:val="0"/>
        <w:rPr>
          <w:rFonts w:hint="eastAsia" w:ascii="仿宋_GB2312" w:hAnsi="仿宋_GB2312" w:eastAsia="仿宋_GB2312" w:cs="仿宋_GB2312"/>
          <w:b/>
          <w:bCs/>
          <w:color w:val="000000"/>
          <w:sz w:val="24"/>
          <w:shd w:val="clear" w:color="auto" w:fill="FFFFFF"/>
        </w:rPr>
      </w:pPr>
      <w:r>
        <w:rPr>
          <w:rFonts w:hint="eastAsia" w:ascii="仿宋_GB2312" w:hAnsi="仿宋_GB2312" w:eastAsia="仿宋_GB2312" w:cs="仿宋_GB2312"/>
          <w:bCs/>
          <w:color w:val="000000"/>
          <w:sz w:val="24"/>
          <w:shd w:val="clear" w:color="auto" w:fill="FFFFFF"/>
        </w:rPr>
        <w:t xml:space="preserve">三、宏观经济政策分析 </w:t>
      </w:r>
    </w:p>
    <w:p w14:paraId="58D92856">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财政政策和货币政策的影响</w:t>
      </w:r>
    </w:p>
    <w:p w14:paraId="1DED466F">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财政政策                         货币政策</w:t>
      </w:r>
    </w:p>
    <w:p w14:paraId="32B3C5F9">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财政政策和货币政策的影响         财政政策和货币政策的混合使用</w:t>
      </w:r>
    </w:p>
    <w:p w14:paraId="35BEBD65">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经济政策目标</w:t>
      </w:r>
    </w:p>
    <w:p w14:paraId="7174A0A8">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充分就业                         价格稳定 </w:t>
      </w:r>
    </w:p>
    <w:p w14:paraId="22444C7D">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经济持续均衡增长    </w:t>
      </w:r>
      <w:bookmarkStart w:id="0" w:name="_GoBack"/>
      <w:bookmarkEnd w:id="0"/>
      <w:r>
        <w:rPr>
          <w:rFonts w:hint="eastAsia" w:ascii="仿宋_GB2312" w:hAnsi="仿宋_GB2312" w:eastAsia="仿宋_GB2312" w:cs="仿宋_GB2312"/>
          <w:color w:val="000000"/>
          <w:sz w:val="24"/>
          <w:shd w:val="clear" w:color="auto" w:fill="FFFFFF"/>
        </w:rPr>
        <w:t xml:space="preserve">             国际收支平衡。</w:t>
      </w:r>
    </w:p>
    <w:p w14:paraId="313709D7">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财政政策</w:t>
      </w:r>
    </w:p>
    <w:p w14:paraId="278139F3">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财政政策工具                     自动稳定与相机抉择的财政政策</w:t>
      </w:r>
    </w:p>
    <w:p w14:paraId="2398E5A3">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功能财政和预算盈余               充分就业预算盈余与财政政策方向</w:t>
      </w:r>
    </w:p>
    <w:p w14:paraId="3BAE6732">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货币政策</w:t>
      </w:r>
    </w:p>
    <w:p w14:paraId="2CB9BFDC">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商业银行和中央银行               存款创造和货币供给</w:t>
      </w:r>
    </w:p>
    <w:p w14:paraId="6D021477">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债券价格与市场利息率的关系       货币政策及其工具</w:t>
      </w:r>
    </w:p>
    <w:p w14:paraId="03D80641">
      <w:pPr>
        <w:shd w:val="solid" w:color="FFFFFF" w:fill="auto"/>
        <w:autoSpaceDN w:val="0"/>
        <w:rPr>
          <w:rFonts w:hint="eastAsia" w:ascii="仿宋_GB2312" w:hAnsi="仿宋_GB2312" w:eastAsia="仿宋_GB2312" w:cs="仿宋_GB2312"/>
          <w:b/>
          <w:bCs/>
          <w:color w:val="000000"/>
          <w:sz w:val="24"/>
          <w:shd w:val="clear" w:color="auto" w:fill="FFFFFF"/>
        </w:rPr>
      </w:pPr>
      <w:r>
        <w:rPr>
          <w:rFonts w:hint="eastAsia" w:ascii="仿宋_GB2312" w:hAnsi="仿宋_GB2312" w:eastAsia="仿宋_GB2312" w:cs="仿宋_GB2312"/>
          <w:bCs/>
          <w:color w:val="000000"/>
          <w:sz w:val="24"/>
          <w:shd w:val="clear" w:color="auto" w:fill="FFFFFF"/>
        </w:rPr>
        <w:t>四、失业、通货膨胀理论</w:t>
      </w:r>
    </w:p>
    <w:p w14:paraId="1174AA2E">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失业理论</w:t>
      </w:r>
    </w:p>
    <w:p w14:paraId="43B173E3">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失业的分类                       自然失业率和自然就业率  </w:t>
      </w:r>
    </w:p>
    <w:p w14:paraId="09B7A8C1">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失业的影响                       奥肯定律</w:t>
      </w:r>
    </w:p>
    <w:p w14:paraId="65D1AD0F">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通货膨胀理论</w:t>
      </w:r>
    </w:p>
    <w:p w14:paraId="37E8F416">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通货膨胀的含义与分类             通货膨胀对经济的影响  </w:t>
      </w:r>
    </w:p>
    <w:p w14:paraId="7EE8CF73">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 xml:space="preserve">通货膨胀的原因                   需求拉动的通货膨胀理论    </w:t>
      </w:r>
    </w:p>
    <w:p w14:paraId="446B585A">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供给推动的通货膨胀理论           其他通货膨胀理论</w:t>
      </w:r>
    </w:p>
    <w:p w14:paraId="65294BFC">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治理通货膨胀的对策</w:t>
      </w:r>
    </w:p>
    <w:p w14:paraId="7C54F3D6">
      <w:pPr>
        <w:numPr>
          <w:ilvl w:val="0"/>
          <w:numId w:val="2"/>
        </w:numPr>
        <w:shd w:val="solid" w:color="FFFFFF" w:fill="auto"/>
        <w:autoSpaceDN w:val="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菲利普斯曲线</w:t>
      </w:r>
    </w:p>
    <w:p w14:paraId="621B4B28">
      <w:pPr>
        <w:shd w:val="solid" w:color="FFFFFF" w:fill="auto"/>
        <w:autoSpaceDN w:val="0"/>
        <w:ind w:left="42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菲利普斯曲线的提出               菲利普斯曲线的政策含义</w:t>
      </w:r>
    </w:p>
    <w:p w14:paraId="7B909D1D">
      <w:pPr>
        <w:spacing w:line="560" w:lineRule="exact"/>
        <w:ind w:firstLine="643" w:firstLineChars="200"/>
        <w:jc w:val="center"/>
        <w:rPr>
          <w:rFonts w:hint="eastAsia" w:ascii="黑体" w:hAnsi="黑体" w:eastAsia="黑体" w:cs="黑体"/>
          <w:b/>
          <w:sz w:val="32"/>
          <w:szCs w:val="32"/>
        </w:rPr>
      </w:pPr>
    </w:p>
    <w:p w14:paraId="1D97CDAE">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复试笔试：F503-财政学</w:t>
      </w:r>
    </w:p>
    <w:p w14:paraId="39BB7E65">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一、简答题（5题，每题8分，共40分）</w:t>
      </w:r>
    </w:p>
    <w:p w14:paraId="531E8617">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w:t>
      </w:r>
      <w:r>
        <w:rPr>
          <w:rFonts w:hint="eastAsia" w:ascii="仿宋_GB2312" w:hAnsi="仿宋_GB2312" w:eastAsia="仿宋_GB2312" w:cs="仿宋_GB2312"/>
          <w:bCs/>
          <w:sz w:val="32"/>
          <w:szCs w:val="32"/>
          <w:lang w:val="en-US" w:eastAsia="zh-CN"/>
        </w:rPr>
        <w:t>计算</w:t>
      </w:r>
      <w:r>
        <w:rPr>
          <w:rFonts w:hint="eastAsia" w:ascii="仿宋_GB2312" w:hAnsi="仿宋_GB2312" w:eastAsia="仿宋_GB2312" w:cs="仿宋_GB2312"/>
          <w:bCs/>
          <w:sz w:val="32"/>
          <w:szCs w:val="32"/>
        </w:rPr>
        <w:t>题（2题，每题10分，共20分）</w:t>
      </w:r>
    </w:p>
    <w:p w14:paraId="470EDFAE">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三、论述题（2题，每题20分，共40分）</w:t>
      </w:r>
    </w:p>
    <w:p w14:paraId="4A6D6E7B">
      <w:pPr>
        <w:spacing w:line="560" w:lineRule="exact"/>
        <w:ind w:firstLine="643" w:firstLineChars="200"/>
        <w:jc w:val="center"/>
        <w:rPr>
          <w:rFonts w:hint="eastAsia" w:ascii="黑体" w:hAnsi="黑体" w:eastAsia="黑体" w:cs="黑体"/>
          <w:b/>
          <w:sz w:val="32"/>
          <w:szCs w:val="32"/>
        </w:rPr>
      </w:pPr>
    </w:p>
    <w:p w14:paraId="3CD7CDE8">
      <w:pPr>
        <w:widowControl/>
        <w:snapToGrid/>
        <w:spacing w:line="560" w:lineRule="exact"/>
        <w:ind w:firstLine="643" w:firstLineChars="200"/>
        <w:jc w:val="center"/>
        <w:rPr>
          <w:rFonts w:hint="eastAsia" w:ascii="黑体" w:hAnsi="黑体" w:eastAsia="黑体" w:cs="黑体"/>
          <w:b/>
          <w:sz w:val="32"/>
          <w:szCs w:val="32"/>
          <w:shd w:val="clear"/>
        </w:rPr>
      </w:pPr>
      <w:r>
        <w:rPr>
          <w:rFonts w:hint="eastAsia" w:ascii="黑体" w:hAnsi="黑体" w:eastAsia="黑体" w:cs="黑体"/>
          <w:b/>
          <w:sz w:val="32"/>
          <w:szCs w:val="32"/>
        </w:rPr>
        <w:t>参考书目：</w:t>
      </w:r>
    </w:p>
    <w:p w14:paraId="23E2F222">
      <w:pPr>
        <w:widowControl/>
        <w:snapToGrid w:val="0"/>
        <w:spacing w:line="360" w:lineRule="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shd w:val="clear" w:color="auto" w:fill="FFFFFF"/>
        </w:rPr>
        <w:t>公共财政概论编写组：《公共财政概论》（第二版），高等教育出版社，2024年。</w:t>
      </w:r>
    </w:p>
    <w:p w14:paraId="30E7B11B">
      <w:pPr>
        <w:spacing w:line="560" w:lineRule="exact"/>
        <w:ind w:firstLine="643" w:firstLineChars="200"/>
        <w:jc w:val="center"/>
        <w:rPr>
          <w:rFonts w:hint="eastAsia" w:ascii="黑体" w:hAnsi="黑体" w:eastAsia="黑体" w:cs="黑体"/>
          <w:b/>
          <w:sz w:val="32"/>
          <w:szCs w:val="32"/>
        </w:rPr>
      </w:pPr>
    </w:p>
    <w:p w14:paraId="6BA8BFFE">
      <w:pPr>
        <w:widowControl/>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0FDDB585">
      <w:pPr>
        <w:adjustRightInd w:val="0"/>
        <w:snapToGrid w:val="0"/>
        <w:ind w:firstLine="600" w:firstLineChars="250"/>
        <w:jc w:val="left"/>
        <w:rPr>
          <w:rFonts w:hint="eastAsia" w:ascii="仿宋_GB2312" w:hAnsi="仿宋_GB2312" w:eastAsia="仿宋_GB2312" w:cs="仿宋_GB2312"/>
          <w:sz w:val="24"/>
        </w:rPr>
      </w:pPr>
      <w:r>
        <w:rPr>
          <w:rFonts w:hint="eastAsia" w:ascii="仿宋_GB2312" w:hAnsi="仿宋_GB2312" w:eastAsia="仿宋_GB2312" w:cs="仿宋_GB2312"/>
          <w:sz w:val="24"/>
        </w:rPr>
        <w:t>本课程考试要求学生了解和掌握财政学的基本理论和基本知识，具体包括财政概念与职能、财政支出基本理论和具体内容、财政收入基本理论、税收理论、国债理论，财政管理及平衡、财政政策等。要求学生能够运用所学理论、知识和方法解决财政领域中的相关问题，为以后的专业学习、理论研究和实际工作奠定坚实的基础。</w:t>
      </w:r>
    </w:p>
    <w:p w14:paraId="51DC055A">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一、财政概念和财政职能</w:t>
      </w:r>
    </w:p>
    <w:p w14:paraId="732C3C98">
      <w:pPr>
        <w:numPr>
          <w:ilvl w:val="0"/>
          <w:numId w:val="3"/>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政府与市场</w:t>
      </w:r>
    </w:p>
    <w:p w14:paraId="12A591E4">
      <w:pPr>
        <w:numPr>
          <w:ilvl w:val="0"/>
          <w:numId w:val="3"/>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财政概念</w:t>
      </w:r>
    </w:p>
    <w:p w14:paraId="5B656402">
      <w:pPr>
        <w:numPr>
          <w:ilvl w:val="0"/>
          <w:numId w:val="3"/>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财政职能</w:t>
      </w:r>
    </w:p>
    <w:p w14:paraId="1C977334">
      <w:pPr>
        <w:adjustRightInd w:val="0"/>
        <w:snapToGrid w:val="0"/>
        <w:rPr>
          <w:rFonts w:hint="eastAsia" w:ascii="仿宋_GB2312" w:hAnsi="仿宋_GB2312" w:eastAsia="仿宋_GB2312" w:cs="仿宋_GB2312"/>
          <w:sz w:val="24"/>
        </w:rPr>
      </w:pPr>
    </w:p>
    <w:p w14:paraId="25E09272">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二、财政支出的基本理论</w:t>
      </w:r>
    </w:p>
    <w:p w14:paraId="78A18DA0">
      <w:pPr>
        <w:numPr>
          <w:ilvl w:val="0"/>
          <w:numId w:val="4"/>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公共物品的提供、生产和定价</w:t>
      </w:r>
    </w:p>
    <w:p w14:paraId="4281B61B">
      <w:pPr>
        <w:numPr>
          <w:ilvl w:val="0"/>
          <w:numId w:val="4"/>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财政支出效益的分析和评价</w:t>
      </w:r>
    </w:p>
    <w:p w14:paraId="0F909E66">
      <w:pPr>
        <w:numPr>
          <w:ilvl w:val="0"/>
          <w:numId w:val="4"/>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财政的法制化、民主化和财政监督</w:t>
      </w:r>
    </w:p>
    <w:p w14:paraId="1126A437">
      <w:pPr>
        <w:adjustRightInd w:val="0"/>
        <w:snapToGrid w:val="0"/>
        <w:rPr>
          <w:rFonts w:hint="eastAsia" w:ascii="仿宋_GB2312" w:hAnsi="仿宋_GB2312" w:eastAsia="仿宋_GB2312" w:cs="仿宋_GB2312"/>
          <w:sz w:val="24"/>
        </w:rPr>
      </w:pPr>
    </w:p>
    <w:p w14:paraId="4AC658C6">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三、 财政支出规模与结构分析</w:t>
      </w:r>
    </w:p>
    <w:p w14:paraId="45417936">
      <w:pPr>
        <w:numPr>
          <w:ilvl w:val="0"/>
          <w:numId w:val="5"/>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财政支出分类</w:t>
      </w:r>
    </w:p>
    <w:p w14:paraId="21A5DE1F">
      <w:pPr>
        <w:numPr>
          <w:ilvl w:val="0"/>
          <w:numId w:val="5"/>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财政支出规模分析</w:t>
      </w:r>
    </w:p>
    <w:p w14:paraId="16D5F287">
      <w:pPr>
        <w:numPr>
          <w:ilvl w:val="0"/>
          <w:numId w:val="5"/>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财政支出结构分析</w:t>
      </w:r>
    </w:p>
    <w:p w14:paraId="4701F428">
      <w:pPr>
        <w:adjustRightInd w:val="0"/>
        <w:snapToGrid w:val="0"/>
        <w:rPr>
          <w:rFonts w:hint="eastAsia" w:ascii="仿宋_GB2312" w:hAnsi="仿宋_GB2312" w:eastAsia="仿宋_GB2312" w:cs="仿宋_GB2312"/>
          <w:sz w:val="24"/>
        </w:rPr>
      </w:pPr>
    </w:p>
    <w:p w14:paraId="28FE838A">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四、社会消费性支出——购买性支出之一</w:t>
      </w:r>
    </w:p>
    <w:p w14:paraId="3F5A4E6B">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社会消费性支出的性质</w:t>
      </w:r>
    </w:p>
    <w:p w14:paraId="7BA44081">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行政管理费和国防费</w:t>
      </w:r>
    </w:p>
    <w:p w14:paraId="3BC1414A">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文科卫支出</w:t>
      </w:r>
    </w:p>
    <w:p w14:paraId="178504E5">
      <w:pPr>
        <w:adjustRightInd w:val="0"/>
        <w:snapToGrid w:val="0"/>
        <w:rPr>
          <w:rFonts w:hint="eastAsia" w:ascii="仿宋_GB2312" w:hAnsi="仿宋_GB2312" w:eastAsia="仿宋_GB2312" w:cs="仿宋_GB2312"/>
          <w:sz w:val="24"/>
        </w:rPr>
      </w:pPr>
    </w:p>
    <w:p w14:paraId="1DF7F37E">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五、财政投资性支出——购买性支出之二</w:t>
      </w:r>
    </w:p>
    <w:p w14:paraId="321DA9D0">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财政投资性支出的一般分析</w:t>
      </w:r>
    </w:p>
    <w:p w14:paraId="409C52F7">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基础设施投资</w:t>
      </w:r>
    </w:p>
    <w:p w14:paraId="60000AF8">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财政用于“三农”的</w:t>
      </w:r>
      <w:r>
        <w:rPr>
          <w:rFonts w:hint="eastAsia" w:ascii="仿宋_GB2312" w:hAnsi="仿宋_GB2312" w:eastAsia="仿宋_GB2312" w:cs="仿宋_GB2312"/>
          <w:sz w:val="24"/>
          <w:lang w:eastAsia="zh-CN"/>
        </w:rPr>
        <w:t>投入</w:t>
      </w:r>
    </w:p>
    <w:p w14:paraId="51055F09">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财政投融资制度</w:t>
      </w:r>
    </w:p>
    <w:p w14:paraId="7435BF53">
      <w:pPr>
        <w:adjustRightInd w:val="0"/>
        <w:snapToGrid w:val="0"/>
        <w:rPr>
          <w:rFonts w:hint="eastAsia" w:ascii="仿宋_GB2312" w:hAnsi="仿宋_GB2312" w:eastAsia="仿宋_GB2312" w:cs="仿宋_GB2312"/>
          <w:sz w:val="24"/>
        </w:rPr>
      </w:pPr>
    </w:p>
    <w:p w14:paraId="0EB4BB9B">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六、转移性支出</w:t>
      </w:r>
    </w:p>
    <w:p w14:paraId="13D3FECE">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社会保障支出</w:t>
      </w:r>
    </w:p>
    <w:p w14:paraId="4BD95A86">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财政补贴</w:t>
      </w:r>
    </w:p>
    <w:p w14:paraId="695FCBB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税收支出</w:t>
      </w:r>
    </w:p>
    <w:p w14:paraId="259AB3A9">
      <w:pPr>
        <w:adjustRightInd w:val="0"/>
        <w:snapToGrid w:val="0"/>
        <w:rPr>
          <w:rFonts w:hint="eastAsia" w:ascii="仿宋_GB2312" w:hAnsi="仿宋_GB2312" w:eastAsia="仿宋_GB2312" w:cs="仿宋_GB2312"/>
          <w:sz w:val="24"/>
        </w:rPr>
      </w:pPr>
    </w:p>
    <w:p w14:paraId="3F686CF1">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七、 财政收入规模与构成分析</w:t>
      </w:r>
    </w:p>
    <w:p w14:paraId="27FEF4D7">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财政收入分类</w:t>
      </w:r>
    </w:p>
    <w:p w14:paraId="6058A8A8">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财政收入(预算内)规模的影响因素及我国的实证分析</w:t>
      </w:r>
    </w:p>
    <w:p w14:paraId="77B8B770">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我国当前财政收入规模水平的分析和评估</w:t>
      </w:r>
    </w:p>
    <w:p w14:paraId="71CE4002">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财政收入形式构成和预算外资金分析</w:t>
      </w:r>
    </w:p>
    <w:p w14:paraId="192BDF40">
      <w:pPr>
        <w:adjustRightInd w:val="0"/>
        <w:snapToGrid w:val="0"/>
        <w:rPr>
          <w:rFonts w:hint="eastAsia" w:ascii="仿宋_GB2312" w:hAnsi="仿宋_GB2312" w:eastAsia="仿宋_GB2312" w:cs="仿宋_GB2312"/>
          <w:sz w:val="24"/>
        </w:rPr>
      </w:pPr>
    </w:p>
    <w:p w14:paraId="348C9376">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八、 税收原理</w:t>
      </w:r>
    </w:p>
    <w:p w14:paraId="021E20FB">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什么是税收</w:t>
      </w:r>
    </w:p>
    <w:p w14:paraId="2F194202">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税收术语和税收分类</w:t>
      </w:r>
    </w:p>
    <w:p w14:paraId="684AB679">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税收原则</w:t>
      </w:r>
    </w:p>
    <w:p w14:paraId="46FD37A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税负的转嫁与归宿</w:t>
      </w:r>
    </w:p>
    <w:p w14:paraId="43C22488">
      <w:pPr>
        <w:adjustRightInd w:val="0"/>
        <w:snapToGrid w:val="0"/>
        <w:rPr>
          <w:rFonts w:hint="eastAsia" w:ascii="仿宋_GB2312" w:hAnsi="仿宋_GB2312" w:eastAsia="仿宋_GB2312" w:cs="仿宋_GB2312"/>
          <w:sz w:val="24"/>
        </w:rPr>
      </w:pPr>
    </w:p>
    <w:p w14:paraId="2B3C47AA">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九、税收的经济效应</w:t>
      </w:r>
    </w:p>
    <w:p w14:paraId="7BCC1650">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税收的经济效应的作用机制</w:t>
      </w:r>
    </w:p>
    <w:p w14:paraId="4C369C25">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税收的经济影响</w:t>
      </w:r>
    </w:p>
    <w:p w14:paraId="31A790B6">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税收与经济发展</w:t>
      </w:r>
    </w:p>
    <w:p w14:paraId="43134E2F">
      <w:pPr>
        <w:adjustRightInd w:val="0"/>
        <w:snapToGrid w:val="0"/>
        <w:rPr>
          <w:rFonts w:hint="eastAsia" w:ascii="仿宋_GB2312" w:hAnsi="仿宋_GB2312" w:eastAsia="仿宋_GB2312" w:cs="仿宋_GB2312"/>
          <w:sz w:val="24"/>
        </w:rPr>
      </w:pPr>
    </w:p>
    <w:p w14:paraId="1133776F">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 税收制度</w:t>
      </w:r>
    </w:p>
    <w:p w14:paraId="79611DE5">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我国税收制度的历史演变</w:t>
      </w:r>
    </w:p>
    <w:p w14:paraId="55C666A8">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商品课税</w:t>
      </w:r>
    </w:p>
    <w:p w14:paraId="7B2BB5CD">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所得课税</w:t>
      </w:r>
    </w:p>
    <w:p w14:paraId="4E89B050">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资源课税与财产课税</w:t>
      </w:r>
    </w:p>
    <w:p w14:paraId="11509EE1">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我国税收征管制度</w:t>
      </w:r>
    </w:p>
    <w:p w14:paraId="35F12574">
      <w:pPr>
        <w:adjustRightInd w:val="0"/>
        <w:snapToGrid w:val="0"/>
        <w:rPr>
          <w:rFonts w:hint="eastAsia" w:ascii="仿宋_GB2312" w:hAnsi="仿宋_GB2312" w:eastAsia="仿宋_GB2312" w:cs="仿宋_GB2312"/>
          <w:sz w:val="24"/>
        </w:rPr>
      </w:pPr>
    </w:p>
    <w:p w14:paraId="52528217">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十一、 税制改革的理论与实践</w:t>
      </w:r>
    </w:p>
    <w:p w14:paraId="42A4B637">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工商税制改革</w:t>
      </w:r>
    </w:p>
    <w:p w14:paraId="09241AE5">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我国工商税制改革的基本思路和方向</w:t>
      </w:r>
    </w:p>
    <w:p w14:paraId="73BD47C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农村税费改革</w:t>
      </w:r>
    </w:p>
    <w:p w14:paraId="36B42B06">
      <w:pPr>
        <w:adjustRightInd w:val="0"/>
        <w:snapToGrid w:val="0"/>
        <w:rPr>
          <w:rFonts w:hint="eastAsia" w:ascii="仿宋_GB2312" w:hAnsi="仿宋_GB2312" w:eastAsia="仿宋_GB2312" w:cs="仿宋_GB2312"/>
          <w:sz w:val="24"/>
        </w:rPr>
      </w:pPr>
    </w:p>
    <w:p w14:paraId="6F645BD5">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十二、 国债和国债市场</w:t>
      </w:r>
    </w:p>
    <w:p w14:paraId="4793AF7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国债原理</w:t>
      </w:r>
    </w:p>
    <w:p w14:paraId="69C40C18">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国债的经济效应和政策功能</w:t>
      </w:r>
    </w:p>
    <w:p w14:paraId="552E30FF">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我国债务负担率及债务依存度的分析</w:t>
      </w:r>
    </w:p>
    <w:p w14:paraId="544A5885">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国债市场及其功能</w:t>
      </w:r>
    </w:p>
    <w:p w14:paraId="181DDAE6">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政府直接隐性债务和或有债务</w:t>
      </w:r>
    </w:p>
    <w:p w14:paraId="4D59EE3E">
      <w:pPr>
        <w:adjustRightInd w:val="0"/>
        <w:snapToGrid w:val="0"/>
        <w:rPr>
          <w:rFonts w:hint="eastAsia" w:ascii="仿宋_GB2312" w:hAnsi="仿宋_GB2312" w:eastAsia="仿宋_GB2312" w:cs="仿宋_GB2312"/>
          <w:sz w:val="24"/>
        </w:rPr>
      </w:pPr>
    </w:p>
    <w:p w14:paraId="24D7C029">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十三、 国家预算和预算管理体制</w:t>
      </w:r>
    </w:p>
    <w:p w14:paraId="4B54B69A">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国家预算概述</w:t>
      </w:r>
    </w:p>
    <w:p w14:paraId="1C5EDA0B">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我国预算管理制度的改革和建设</w:t>
      </w:r>
    </w:p>
    <w:p w14:paraId="0CED11CF">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中国分税制改革</w:t>
      </w:r>
    </w:p>
    <w:p w14:paraId="22FD33D5">
      <w:pPr>
        <w:adjustRightInd w:val="0"/>
        <w:snapToGrid w:val="0"/>
        <w:rPr>
          <w:rFonts w:hint="eastAsia" w:ascii="仿宋_GB2312" w:hAnsi="仿宋_GB2312" w:eastAsia="仿宋_GB2312" w:cs="仿宋_GB2312"/>
          <w:sz w:val="24"/>
        </w:rPr>
      </w:pPr>
    </w:p>
    <w:p w14:paraId="168181D8">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十四、 财政平衡和财政赤字</w:t>
      </w:r>
    </w:p>
    <w:p w14:paraId="124C63E3">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财政平衡与财政赤字概述</w:t>
      </w:r>
    </w:p>
    <w:p w14:paraId="572D5FC0">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财政赤字与社会总供求平衡</w:t>
      </w:r>
    </w:p>
    <w:p w14:paraId="6A1DDC23">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运用IS-LM模型分析财政赤字的经济效应</w:t>
      </w:r>
    </w:p>
    <w:p w14:paraId="76127AC2">
      <w:pPr>
        <w:adjustRightInd w:val="0"/>
        <w:snapToGrid w:val="0"/>
        <w:rPr>
          <w:rFonts w:hint="eastAsia" w:ascii="仿宋_GB2312" w:hAnsi="仿宋_GB2312" w:eastAsia="仿宋_GB2312" w:cs="仿宋_GB2312"/>
          <w:sz w:val="24"/>
        </w:rPr>
      </w:pPr>
    </w:p>
    <w:p w14:paraId="568D8453">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十五、 财政政策</w:t>
      </w:r>
    </w:p>
    <w:p w14:paraId="287D7C56">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财政政策概述</w:t>
      </w:r>
    </w:p>
    <w:p w14:paraId="214466C3">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财政政策的传导和效应</w:t>
      </w:r>
    </w:p>
    <w:p w14:paraId="626C023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财政政策与货币政策的配合</w:t>
      </w:r>
    </w:p>
    <w:p w14:paraId="7099E62F">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我国财政政策的实践和经验</w:t>
      </w:r>
    </w:p>
    <w:p w14:paraId="60E41147">
      <w:pPr>
        <w:rPr>
          <w:rFonts w:hint="eastAsia" w:ascii="仿宋_GB2312" w:hAnsi="仿宋_GB2312" w:eastAsia="仿宋_GB2312" w:cs="仿宋_GB2312"/>
          <w:sz w:val="24"/>
        </w:rPr>
      </w:pPr>
    </w:p>
    <w:p w14:paraId="18CA4C71">
      <w:pPr>
        <w:rPr>
          <w:rFonts w:hint="eastAsia" w:ascii="仿宋_GB2312" w:hAnsi="仿宋_GB2312" w:eastAsia="仿宋_GB2312" w:cs="仿宋_GB2312"/>
          <w:sz w:val="24"/>
        </w:rPr>
      </w:pPr>
      <w:r>
        <w:rPr>
          <w:rFonts w:hint="eastAsia" w:ascii="仿宋_GB2312" w:hAnsi="仿宋_GB2312" w:eastAsia="仿宋_GB2312" w:cs="仿宋_GB2312"/>
          <w:sz w:val="24"/>
        </w:rPr>
        <w:t>十六、 开放经济下的财政问题</w:t>
      </w:r>
    </w:p>
    <w:p w14:paraId="2EAFC02B">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 xml:space="preserve">国际税收 </w:t>
      </w:r>
    </w:p>
    <w:p w14:paraId="26680FB4">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 xml:space="preserve">关税 </w:t>
      </w:r>
    </w:p>
    <w:p w14:paraId="095BBA09">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出口退税</w:t>
      </w:r>
    </w:p>
    <w:p w14:paraId="0EC2B6CC">
      <w:pPr>
        <w:numPr>
          <w:ilvl w:val="0"/>
          <w:numId w:val="6"/>
        </w:num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sz w:val="24"/>
        </w:rPr>
        <w:t xml:space="preserve">外债 </w:t>
      </w:r>
    </w:p>
    <w:p w14:paraId="7199073A">
      <w:pPr>
        <w:spacing w:line="560" w:lineRule="exact"/>
        <w:ind w:firstLine="643" w:firstLineChars="200"/>
        <w:jc w:val="center"/>
        <w:rPr>
          <w:rFonts w:hint="eastAsia" w:ascii="黑体" w:hAnsi="黑体" w:eastAsia="黑体" w:cs="黑体"/>
          <w:b/>
          <w:sz w:val="32"/>
          <w:szCs w:val="32"/>
        </w:rPr>
      </w:pPr>
    </w:p>
    <w:p w14:paraId="3B70BB6C"/>
    <w:p w14:paraId="1E6DA0E5"/>
    <w:p w14:paraId="191E2ACA"/>
    <w:p w14:paraId="52D4C11C">
      <w:pPr>
        <w:jc w:val="center"/>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1BB94D4F"/>
    <w:multiLevelType w:val="multilevel"/>
    <w:tmpl w:val="1BB94D4F"/>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35DF778B"/>
    <w:multiLevelType w:val="multilevel"/>
    <w:tmpl w:val="35DF778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6B1B3B19"/>
    <w:multiLevelType w:val="multilevel"/>
    <w:tmpl w:val="6B1B3B1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75A47380"/>
    <w:multiLevelType w:val="multilevel"/>
    <w:tmpl w:val="75A47380"/>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0605924"/>
    <w:rsid w:val="008B640B"/>
    <w:rsid w:val="00D51512"/>
    <w:rsid w:val="00DE754C"/>
    <w:rsid w:val="00ED449D"/>
    <w:rsid w:val="00FB27E9"/>
    <w:rsid w:val="01A916C8"/>
    <w:rsid w:val="05E94536"/>
    <w:rsid w:val="13750B53"/>
    <w:rsid w:val="16873FD1"/>
    <w:rsid w:val="1E4914E1"/>
    <w:rsid w:val="2C334F53"/>
    <w:rsid w:val="34AB66CA"/>
    <w:rsid w:val="40F02470"/>
    <w:rsid w:val="4FA673B0"/>
    <w:rsid w:val="5F22778D"/>
    <w:rsid w:val="65E26D67"/>
    <w:rsid w:val="75684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2351</Words>
  <Characters>2385</Characters>
  <Lines>25</Lines>
  <Paragraphs>7</Paragraphs>
  <TotalTime>41</TotalTime>
  <ScaleCrop>false</ScaleCrop>
  <LinksUpToDate>false</LinksUpToDate>
  <CharactersWithSpaces>3230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Administrator</cp:lastModifiedBy>
  <dcterms:modified xsi:type="dcterms:W3CDTF">2026-09-26T09:06:34Z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70DDDF223AFC4CD787AE8192FA234999_13</vt:lpwstr>
  </property>
  <property fmtid="{D5CDD505-2E9C-101B-9397-08002B2CF9AE}" pid="4" name="KSOTemplateDocerSaveRecord">
    <vt:lpwstr>eyJoZGlkIjoiMGM1ZWY5NTVjZjg3NTEzNWNhY2YxYTYyMDNmYzkwNWIiLCJ1c2VySWQiOiIyNDcyNTI5NTEifQ==</vt:lpwstr>
  </property>
</Properties>
</file>