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金融（025100）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初试：《金融学综合》</w:t>
      </w: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一、简答题  （4题，每题10分，共40分）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二、论述题  （2题，每题25分，共50分）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三、材料分析题（2题，每题30分，共60分）</w:t>
      </w:r>
    </w:p>
    <w:p w14:paraId="26823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32AF6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80" w:firstLineChars="200"/>
        <w:jc w:val="left"/>
        <w:textAlignment w:val="auto"/>
        <w:rPr>
          <w:rFonts w:hint="eastAsia" w:ascii="黑体" w:hAnsi="黑体" w:cs="黑体" w:eastAsiaTheme="minorEastAsia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hd w:val="clear" w:color="auto" w:fill="FFFFFF"/>
          <w:lang w:val="en-US" w:eastAsia="zh-CN"/>
        </w:rPr>
        <w:t>1.</w:t>
      </w:r>
      <w:r>
        <w:rPr>
          <w:rFonts w:hint="eastAsia" w:ascii="宋体" w:hAnsi="宋体" w:cs="宋体"/>
          <w:color w:val="auto"/>
          <w:sz w:val="24"/>
          <w:shd w:val="clear" w:color="auto" w:fill="FFFFFF"/>
        </w:rPr>
        <w:t>公司理财(原书第11版)作者:[美]斯蒂芬 A. 罗斯（Stephen A. Ross）等</w:t>
      </w:r>
      <w:r>
        <w:rPr>
          <w:rFonts w:hint="eastAsia" w:ascii="宋体" w:hAnsi="宋体" w:cs="宋体"/>
          <w:color w:val="auto"/>
          <w:sz w:val="24"/>
          <w:shd w:val="clear" w:color="auto" w:fill="FFFFFF"/>
          <w:lang w:eastAsia="zh-CN"/>
        </w:rPr>
        <w:t>，</w:t>
      </w:r>
      <w:r>
        <w:rPr>
          <w:rFonts w:hint="eastAsia" w:ascii="宋体" w:hAnsi="宋体" w:cs="宋体"/>
          <w:color w:val="auto"/>
          <w:sz w:val="24"/>
          <w:shd w:val="clear" w:color="auto" w:fill="FFFFFF"/>
        </w:rPr>
        <w:t>出版社:机械工业出版社，出版时间:2017年08月</w:t>
      </w:r>
      <w:r>
        <w:rPr>
          <w:rFonts w:hint="eastAsia" w:ascii="宋体" w:hAnsi="宋体" w:cs="宋体"/>
          <w:color w:val="auto"/>
          <w:sz w:val="24"/>
          <w:shd w:val="clear" w:color="auto" w:fill="FFFFFF"/>
          <w:lang w:eastAsia="zh-CN"/>
        </w:rPr>
        <w:t>。</w:t>
      </w:r>
    </w:p>
    <w:p w14:paraId="16F79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8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hd w:val="clear" w:color="auto" w:fill="FFFFFF"/>
          <w:lang w:val="en-US" w:eastAsia="zh-CN"/>
        </w:rPr>
        <w:t>2.金融学</w:t>
      </w:r>
      <w:r>
        <w:rPr>
          <w:rFonts w:cs="宋体"/>
          <w:color w:val="auto"/>
          <w:sz w:val="24"/>
          <w:shd w:val="clear" w:color="auto" w:fill="FFFFFF"/>
        </w:rPr>
        <w:t>原理（第</w:t>
      </w:r>
      <w:r>
        <w:rPr>
          <w:rFonts w:hint="eastAsia" w:cs="宋体"/>
          <w:color w:val="auto"/>
          <w:sz w:val="24"/>
          <w:shd w:val="clear" w:color="auto" w:fill="FFFFFF"/>
        </w:rPr>
        <w:t>六</w:t>
      </w:r>
      <w:r>
        <w:rPr>
          <w:rFonts w:cs="宋体"/>
          <w:color w:val="auto"/>
          <w:sz w:val="24"/>
          <w:shd w:val="clear" w:color="auto" w:fill="FFFFFF"/>
        </w:rPr>
        <w:t>版）</w:t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作者: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"http://search.dangdang.com/?key2=%C5%ED%D0%CB%D4%CF&amp;medium=01&amp;category_path=01.00.00.00.00.00" \t "http://product.dangdang.com/_blank" </w:instrText>
      </w:r>
      <w:r>
        <w:rPr>
          <w:color w:val="auto"/>
        </w:rPr>
        <w:fldChar w:fldCharType="separate"/>
      </w:r>
      <w:r>
        <w:rPr>
          <w:rStyle w:val="5"/>
          <w:rFonts w:cs="宋体"/>
          <w:color w:val="auto"/>
          <w:sz w:val="24"/>
          <w:u w:val="none"/>
          <w:shd w:val="clear" w:color="auto" w:fill="FFFFFF"/>
        </w:rPr>
        <w:t>彭兴韵</w:t>
      </w:r>
      <w:r>
        <w:rPr>
          <w:rStyle w:val="5"/>
          <w:rFonts w:cs="宋体"/>
          <w:color w:val="auto"/>
          <w:sz w:val="24"/>
          <w:u w:val="none"/>
          <w:shd w:val="clear" w:color="auto" w:fill="FFFFFF"/>
        </w:rPr>
        <w:fldChar w:fldCharType="end"/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，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"http://search.dangdang.com/?key3=%B8%F1%D6%C2%B3%F6%B0%E6%C9%E7&amp;medium=01&amp;category_path=01.00.00.00.00.00" \t "http://product.dangdang.com/_blank" </w:instrText>
      </w:r>
      <w:r>
        <w:rPr>
          <w:color w:val="auto"/>
        </w:rPr>
        <w:fldChar w:fldCharType="separate"/>
      </w:r>
      <w:r>
        <w:rPr>
          <w:rStyle w:val="5"/>
          <w:rFonts w:cs="宋体"/>
          <w:color w:val="auto"/>
          <w:sz w:val="24"/>
          <w:u w:val="none"/>
          <w:shd w:val="clear" w:color="auto" w:fill="FFFFFF"/>
        </w:rPr>
        <w:t>格致出版社</w:t>
      </w:r>
      <w:r>
        <w:rPr>
          <w:rStyle w:val="5"/>
          <w:rFonts w:cs="宋体"/>
          <w:color w:val="auto"/>
          <w:sz w:val="24"/>
          <w:u w:val="none"/>
          <w:shd w:val="clear" w:color="auto" w:fill="FFFFFF"/>
        </w:rPr>
        <w:fldChar w:fldCharType="end"/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出版，</w:t>
      </w:r>
      <w:r>
        <w:rPr>
          <w:rFonts w:hint="eastAsia" w:ascii="宋体" w:hAnsi="宋体" w:cs="宋体"/>
          <w:color w:val="auto"/>
          <w:sz w:val="24"/>
          <w:shd w:val="clear" w:color="auto" w:fill="FFFFFF"/>
        </w:rPr>
        <w:t>出版</w:t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时间:201</w:t>
      </w:r>
      <w:r>
        <w:rPr>
          <w:rFonts w:hint="eastAsia" w:cs="宋体"/>
          <w:color w:val="auto"/>
          <w:kern w:val="0"/>
          <w:sz w:val="24"/>
          <w:shd w:val="clear" w:color="auto" w:fill="FFFFFF"/>
          <w:lang w:bidi="ar"/>
        </w:rPr>
        <w:t>9</w:t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年07月</w:t>
      </w:r>
      <w:r>
        <w:rPr>
          <w:rFonts w:hint="eastAsia" w:cs="宋体"/>
          <w:color w:val="auto"/>
          <w:kern w:val="0"/>
          <w:sz w:val="24"/>
          <w:shd w:val="clear" w:color="auto" w:fill="FFFFFF"/>
          <w:lang w:bidi="ar"/>
        </w:rPr>
        <w:t>。</w:t>
      </w:r>
    </w:p>
    <w:p w14:paraId="66B5D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8B6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42B1FC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宋体" w:hAnsi="宋体" w:cs="宋体"/>
          <w:b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《金融学综合》考试大纲概述：</w:t>
      </w:r>
    </w:p>
    <w:p w14:paraId="6C9003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金融学和公司财务相关的基本概念、基本理论。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eastAsia="zh-CN"/>
        </w:rPr>
        <w:t>考查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学生对金融学和公司财务的基本知识的掌握和运用能力；注重对学生知识结构和运用知识的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eastAsia="zh-CN"/>
        </w:rPr>
        <w:t>考查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，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eastAsia="zh-CN"/>
        </w:rPr>
        <w:t>考查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学生综合运用金融学、公司财务等学科知识，解决金融、公司财务等实际问题的能力。</w:t>
      </w:r>
    </w:p>
    <w:p w14:paraId="5F88A4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</w:pPr>
    </w:p>
    <w:p w14:paraId="7C8219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2" w:firstLineChars="200"/>
        <w:textAlignment w:val="auto"/>
        <w:rPr>
          <w:rFonts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第一部分 《金融学》</w:t>
      </w:r>
    </w:p>
    <w:p w14:paraId="3A01B4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textAlignment w:val="auto"/>
        <w:rPr>
          <w:rFonts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一、总论</w:t>
      </w:r>
    </w:p>
    <w:p w14:paraId="2DB588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1.货币</w:t>
      </w:r>
    </w:p>
    <w:p w14:paraId="04B4C3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货币的定义，货币的职能，货币的类型，货币制度，货币的度量与货币层次的划分、货币与准货币。</w:t>
      </w:r>
    </w:p>
    <w:p w14:paraId="426436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2.金融系统</w:t>
      </w:r>
    </w:p>
    <w:p w14:paraId="1603EB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资金盈余者与资金短缺者，资金盈余者与短缺者直接的联系机制，金融体系的功能，金融工具，金融系统中的信息不对称。</w:t>
      </w:r>
    </w:p>
    <w:p w14:paraId="467E7F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3.货币的时间价值</w:t>
      </w:r>
    </w:p>
    <w:p w14:paraId="71EC6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货币的时间价值及其计量，复利与终值的计算，现值与年金现值，年金现值与终值的结合，通货膨胀、利息税的影响。</w:t>
      </w:r>
    </w:p>
    <w:p w14:paraId="1BE96F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4.资源的时间配置:储蓄与消费的选择</w:t>
      </w:r>
    </w:p>
    <w:p w14:paraId="22BF0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储蓄的性质及其形式，储蓄的动机，储蓄与消费的选择，生命周期储蓄计划。</w:t>
      </w:r>
    </w:p>
    <w:p w14:paraId="303180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5.资金盈余者的资产选择与风险管理</w:t>
      </w:r>
    </w:p>
    <w:p w14:paraId="52FC23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资产的类别及其各自的属性，资产选择的决定因素，资产风险及其管理。</w:t>
      </w:r>
    </w:p>
    <w:p w14:paraId="7E246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6.资金短缺者的融资选择</w:t>
      </w:r>
    </w:p>
    <w:p w14:paraId="3BED94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内源融资与外源融资，外源融资，企业融资结构，政府融资。</w:t>
      </w:r>
    </w:p>
    <w:p w14:paraId="3D589F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二、机构与市场</w:t>
      </w:r>
    </w:p>
    <w:p w14:paraId="575D5B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7.金融系统中的金融机构</w:t>
      </w:r>
    </w:p>
    <w:p w14:paraId="7EE8BC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商业银行，政策性银行，保险公司，证券与期货市场，其他金融机构，政策与监管金融机构。</w:t>
      </w:r>
    </w:p>
    <w:p w14:paraId="070598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8.商业银行业务与管理</w:t>
      </w:r>
    </w:p>
    <w:p w14:paraId="6CD2B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商业银行业务，资产与负债管理，流动性管理，信用风险管理，利率风险管理，资产证券化与银行风险管理。</w:t>
      </w:r>
    </w:p>
    <w:p w14:paraId="19F14C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9.长期资本市场</w:t>
      </w:r>
    </w:p>
    <w:p w14:paraId="0D1FE2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长期资本市场定义，长期资本市场工具的发行与交易，资本市场债券价值评估，股票价值评估，市场有效性与市场的过度反应。</w:t>
      </w:r>
    </w:p>
    <w:p w14:paraId="35A267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10.短期货币市场</w:t>
      </w:r>
    </w:p>
    <w:p w14:paraId="592A1F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同业拆借市场，票据市场，短期债券与债券回购市场，货币市场基金。</w:t>
      </w:r>
    </w:p>
    <w:p w14:paraId="666248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11.外汇市场</w:t>
      </w:r>
    </w:p>
    <w:p w14:paraId="4287C3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外汇与汇率，外汇交易，汇率风险及其管理。</w:t>
      </w:r>
    </w:p>
    <w:p w14:paraId="2A3395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12.金融衍生品市场</w:t>
      </w:r>
    </w:p>
    <w:p w14:paraId="7BA8C2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远期交易，期货，期权，互换。</w:t>
      </w:r>
    </w:p>
    <w:p w14:paraId="5544EB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三、金融调控</w:t>
      </w:r>
    </w:p>
    <w:p w14:paraId="50DD46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13.货币供给</w:t>
      </w:r>
    </w:p>
    <w:p w14:paraId="5CCAB6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基础货币与基础货币方程式，银行体系派生存款的创造，货币乘数，决定货币乘数值因子的背后因素，货币供给的内生性与外生性。</w:t>
      </w:r>
    </w:p>
    <w:p w14:paraId="386807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14.货币需求</w:t>
      </w:r>
    </w:p>
    <w:p w14:paraId="3EFA3D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古典货币数量论，凯恩斯的货币需求理论，凯恩斯主义对凯恩斯货币需求理论的发展，现代货币数量论，开放经济中的货币需求、货币替代与资产替代，货币流通速度与货币的迷失。</w:t>
      </w:r>
    </w:p>
    <w:p w14:paraId="65FCB2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15.利率水平与利率结构</w:t>
      </w:r>
    </w:p>
    <w:p w14:paraId="40FA50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利率总水平的决定，利率的风险结构，利率期限结构。</w:t>
      </w:r>
    </w:p>
    <w:p w14:paraId="2FD5DA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16.物价水平:通货膨胀与通货紧缩</w:t>
      </w:r>
    </w:p>
    <w:p w14:paraId="6F946C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物价总水平及其衡量，物价水平波动的经济影响，物价水平与就业，菲利普斯曲线，物价水平波动的原因，物价稳定政策。</w:t>
      </w:r>
    </w:p>
    <w:p w14:paraId="0C1033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17.汇率的决定与汇率制度</w:t>
      </w:r>
    </w:p>
    <w:p w14:paraId="0214AD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汇率波动的经济影响，汇率的决定，汇率制度，最优货币区。</w:t>
      </w:r>
    </w:p>
    <w:p w14:paraId="144A01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18.国际收支</w:t>
      </w:r>
    </w:p>
    <w:p w14:paraId="3BD829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国际收支与国际收支平衡表，国际收支失衡，国际收支失衡的调整，汇率在国际收支调节中的作用，内外均衡的冲突与政策搭配。</w:t>
      </w:r>
    </w:p>
    <w:p w14:paraId="02DFFC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19.国民收入与产出的决定:IS-LM模型，总产出的决定，商品市场的均衡：IS曲线，货币市场的均衡：LM曲线，均衡国民收入的决定与自动调整机制，IS-LM模型中的财政政策与货币政策。</w:t>
      </w:r>
    </w:p>
    <w:p w14:paraId="483D5B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20.中央银行货币政策操作</w:t>
      </w:r>
    </w:p>
    <w:p w14:paraId="09A76E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货币政策的终极目标，货币政策操作工具，货币政策的手段变量与中介目标，货币政策传导机制，货币政策效果，货币政策哲学。</w:t>
      </w:r>
    </w:p>
    <w:p w14:paraId="5C4E0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四、金融发展与稳定</w:t>
      </w:r>
    </w:p>
    <w:p w14:paraId="3610A0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21.金融发展与金融结构</w:t>
      </w:r>
    </w:p>
    <w:p w14:paraId="0B79C1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金融发展，金融发展中的金融相关比率，金融发展的路径，现代金融结构，金融发展中的金融全球化。</w:t>
      </w:r>
    </w:p>
    <w:p w14:paraId="1C954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val="en-US" w:eastAsia="zh-CN"/>
        </w:rPr>
        <w:t>22.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金融深化与金融自由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val="en-US" w:eastAsia="zh-CN"/>
        </w:rPr>
        <w:t>化</w:t>
      </w:r>
    </w:p>
    <w:p w14:paraId="44DCB60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发展中国家金融制度的特征及金融抑制，货币与资本的互补性、储蓄与增长的良性循环，金融自由化。</w:t>
      </w:r>
    </w:p>
    <w:p w14:paraId="06E0B9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23.金融危机</w:t>
      </w:r>
    </w:p>
    <w:p w14:paraId="7F1431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金融危机定义，金融脆弱性与金融泡沫，金融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val="en-US" w:eastAsia="zh-CN"/>
        </w:rPr>
        <w:t>不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稳定模型与金融危机的形成过程，货币危机理论，金融危机的防范。</w:t>
      </w:r>
    </w:p>
    <w:p w14:paraId="5258F5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24.金融监管</w:t>
      </w:r>
    </w:p>
    <w:p w14:paraId="72380C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金融监管的必要性，银行业的监管，资本市场的监管，保险监管，金融监管体制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eastAsia="zh-CN"/>
        </w:rPr>
        <w:t>。</w:t>
      </w:r>
    </w:p>
    <w:p w14:paraId="7C0E8A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第二部分 《公司金融》</w:t>
      </w:r>
    </w:p>
    <w:p w14:paraId="419A7D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1.公司财务概述</w:t>
      </w:r>
    </w:p>
    <w:p w14:paraId="10B589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公司财务的定义，企业的组织形式，财务管理目标。</w:t>
      </w:r>
    </w:p>
    <w:p w14:paraId="1C2E45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2.财务报表分析</w:t>
      </w:r>
    </w:p>
    <w:p w14:paraId="26496F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会计报表，财务比率分析，杜邦恒等式。</w:t>
      </w:r>
    </w:p>
    <w:p w14:paraId="5797B7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3.长期财务规划</w:t>
      </w:r>
    </w:p>
    <w:p w14:paraId="52B50C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财务计划模型，销售百分比法，外部筹资与增长。</w:t>
      </w:r>
    </w:p>
    <w:p w14:paraId="047B16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4.未来现金流量估价</w:t>
      </w:r>
    </w:p>
    <w:p w14:paraId="31D0CC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现金流、折现与复利，债券的估值，股票的估值。</w:t>
      </w:r>
    </w:p>
    <w:p w14:paraId="68DC21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5.资本预算</w:t>
      </w:r>
    </w:p>
    <w:p w14:paraId="1AD8B5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投资决策方法，增量现金流，净现值运用，敏感性分析、情境分析与保本点分析。</w:t>
      </w:r>
    </w:p>
    <w:p w14:paraId="10ED45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6.风险与收益</w:t>
      </w:r>
    </w:p>
    <w:p w14:paraId="4BB03F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风险与收益的度量，均值方差模型，系统性风险与非系统性风险。</w:t>
      </w:r>
    </w:p>
    <w:p w14:paraId="457EBA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7.资产定价理论</w:t>
      </w:r>
    </w:p>
    <w:p w14:paraId="68DADB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资本资产定价模型（CAPM），套利定价模型（APT），CAPM与APT的比较。</w:t>
      </w:r>
    </w:p>
    <w:p w14:paraId="51B4E3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8.资本成本</w:t>
      </w:r>
    </w:p>
    <w:p w14:paraId="0EF392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贝塔（β）的估计，加权平均资本成本（WACC），公司资本成本与项目资本成本。</w:t>
      </w:r>
    </w:p>
    <w:p w14:paraId="596954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9.有效市场假说</w:t>
      </w:r>
    </w:p>
    <w:p w14:paraId="78FCEA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有效资本市场的概念，有效资本市场的形式，有效市场与公司财务。</w:t>
      </w:r>
    </w:p>
    <w:p w14:paraId="44D2F1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10.资本结构与公司价值</w:t>
      </w:r>
    </w:p>
    <w:p w14:paraId="39853A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债务融资与股权融资，财务杠杆效应，MM 定理。</w:t>
      </w:r>
    </w:p>
    <w:p w14:paraId="34354F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11.杠杆企业价值评估</w:t>
      </w:r>
    </w:p>
    <w:p w14:paraId="0392D1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调整净现值法（APV），权益现金流法（FTE），加权平均资本成本法（WACC），三种方法的应用与比较。</w:t>
      </w:r>
    </w:p>
    <w:p w14:paraId="26E916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12.股利与股利政策</w:t>
      </w:r>
    </w:p>
    <w:p w14:paraId="7F0790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现金股利与股利派发，股利政策与投资决策，偏爱低股利、高股利的现实因素。</w:t>
      </w:r>
    </w:p>
    <w:p w14:paraId="6B0E90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复试笔试：《金融学基础（金融硕士）》</w:t>
      </w:r>
    </w:p>
    <w:p w14:paraId="30ED1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54E2D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  （4题，每题10分，共40分）</w:t>
      </w:r>
    </w:p>
    <w:p w14:paraId="00B4D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  （1题，每题30分，共30分）</w:t>
      </w:r>
    </w:p>
    <w:p w14:paraId="450E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29590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80" w:firstLineChars="200"/>
        <w:jc w:val="left"/>
        <w:textAlignment w:val="auto"/>
        <w:rPr>
          <w:rFonts w:hint="eastAsia" w:ascii="黑体" w:hAnsi="黑体" w:cs="黑体" w:eastAsiaTheme="minorEastAsia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hd w:val="clear" w:color="auto" w:fill="FFFFFF"/>
          <w:lang w:val="en-US" w:eastAsia="zh-CN"/>
        </w:rPr>
        <w:t>1.</w:t>
      </w:r>
      <w:r>
        <w:rPr>
          <w:rFonts w:hint="eastAsia" w:ascii="宋体" w:hAnsi="宋体" w:cs="宋体"/>
          <w:color w:val="auto"/>
          <w:sz w:val="24"/>
          <w:shd w:val="clear" w:color="auto" w:fill="FFFFFF"/>
        </w:rPr>
        <w:t>公司理财(原书第11版)作者:[美]斯蒂芬 A. 罗斯（Stephen A. Ross）等</w:t>
      </w:r>
      <w:r>
        <w:rPr>
          <w:rFonts w:hint="eastAsia" w:ascii="宋体" w:hAnsi="宋体" w:cs="宋体"/>
          <w:color w:val="auto"/>
          <w:sz w:val="24"/>
          <w:shd w:val="clear" w:color="auto" w:fill="FFFFFF"/>
          <w:lang w:eastAsia="zh-CN"/>
        </w:rPr>
        <w:t>，</w:t>
      </w:r>
      <w:r>
        <w:rPr>
          <w:rFonts w:hint="eastAsia" w:ascii="宋体" w:hAnsi="宋体" w:cs="宋体"/>
          <w:color w:val="auto"/>
          <w:sz w:val="24"/>
          <w:shd w:val="clear" w:color="auto" w:fill="FFFFFF"/>
        </w:rPr>
        <w:t>出版社:机械工业出版社，出版时间:2017年08月</w:t>
      </w:r>
      <w:r>
        <w:rPr>
          <w:rFonts w:hint="eastAsia" w:ascii="宋体" w:hAnsi="宋体" w:cs="宋体"/>
          <w:color w:val="auto"/>
          <w:sz w:val="24"/>
          <w:shd w:val="clear" w:color="auto" w:fill="FFFFFF"/>
          <w:lang w:eastAsia="zh-CN"/>
        </w:rPr>
        <w:t>。</w:t>
      </w:r>
    </w:p>
    <w:p w14:paraId="54F74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8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hd w:val="clear" w:color="auto" w:fill="FFFFFF"/>
          <w:lang w:val="en-US" w:eastAsia="zh-CN"/>
        </w:rPr>
        <w:t>2.金融学</w:t>
      </w:r>
      <w:r>
        <w:rPr>
          <w:rFonts w:cs="宋体"/>
          <w:color w:val="auto"/>
          <w:sz w:val="24"/>
          <w:shd w:val="clear" w:color="auto" w:fill="FFFFFF"/>
        </w:rPr>
        <w:t>原理（第</w:t>
      </w:r>
      <w:r>
        <w:rPr>
          <w:rFonts w:hint="eastAsia" w:cs="宋体"/>
          <w:color w:val="auto"/>
          <w:sz w:val="24"/>
          <w:shd w:val="clear" w:color="auto" w:fill="FFFFFF"/>
        </w:rPr>
        <w:t>六</w:t>
      </w:r>
      <w:r>
        <w:rPr>
          <w:rFonts w:cs="宋体"/>
          <w:color w:val="auto"/>
          <w:sz w:val="24"/>
          <w:shd w:val="clear" w:color="auto" w:fill="FFFFFF"/>
        </w:rPr>
        <w:t>版）</w:t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作者: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"http://search.dangdang.com/?key2=%C5%ED%D0%CB%D4%CF&amp;medium=01&amp;category_path=01.00.00.00.00.00" \t "http://product.dangdang.com/_blank" </w:instrText>
      </w:r>
      <w:r>
        <w:rPr>
          <w:color w:val="auto"/>
        </w:rPr>
        <w:fldChar w:fldCharType="separate"/>
      </w:r>
      <w:r>
        <w:rPr>
          <w:rStyle w:val="5"/>
          <w:rFonts w:cs="宋体"/>
          <w:color w:val="auto"/>
          <w:sz w:val="24"/>
          <w:u w:val="none"/>
          <w:shd w:val="clear" w:color="auto" w:fill="FFFFFF"/>
        </w:rPr>
        <w:t>彭兴韵</w:t>
      </w:r>
      <w:r>
        <w:rPr>
          <w:rStyle w:val="5"/>
          <w:rFonts w:cs="宋体"/>
          <w:color w:val="auto"/>
          <w:sz w:val="24"/>
          <w:u w:val="none"/>
          <w:shd w:val="clear" w:color="auto" w:fill="FFFFFF"/>
        </w:rPr>
        <w:fldChar w:fldCharType="end"/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，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"http://search.dangdang.com/?key3=%B8%F1%D6%C2%B3%F6%B0%E6%C9%E7&amp;medium=01&amp;category_path=01.00.00.00.00.00" \t "http://product.dangdang.com/_blank" </w:instrText>
      </w:r>
      <w:r>
        <w:rPr>
          <w:color w:val="auto"/>
        </w:rPr>
        <w:fldChar w:fldCharType="separate"/>
      </w:r>
      <w:r>
        <w:rPr>
          <w:rStyle w:val="5"/>
          <w:rFonts w:cs="宋体"/>
          <w:color w:val="auto"/>
          <w:sz w:val="24"/>
          <w:u w:val="none"/>
          <w:shd w:val="clear" w:color="auto" w:fill="FFFFFF"/>
        </w:rPr>
        <w:t>格致出版社</w:t>
      </w:r>
      <w:r>
        <w:rPr>
          <w:rStyle w:val="5"/>
          <w:rFonts w:cs="宋体"/>
          <w:color w:val="auto"/>
          <w:sz w:val="24"/>
          <w:u w:val="none"/>
          <w:shd w:val="clear" w:color="auto" w:fill="FFFFFF"/>
        </w:rPr>
        <w:fldChar w:fldCharType="end"/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出版，</w:t>
      </w:r>
      <w:r>
        <w:rPr>
          <w:rFonts w:hint="eastAsia" w:ascii="宋体" w:hAnsi="宋体" w:cs="宋体"/>
          <w:color w:val="auto"/>
          <w:sz w:val="24"/>
          <w:shd w:val="clear" w:color="auto" w:fill="FFFFFF"/>
        </w:rPr>
        <w:t>出版</w:t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时间:201</w:t>
      </w:r>
      <w:r>
        <w:rPr>
          <w:rFonts w:hint="eastAsia" w:cs="宋体"/>
          <w:color w:val="auto"/>
          <w:kern w:val="0"/>
          <w:sz w:val="24"/>
          <w:shd w:val="clear" w:color="auto" w:fill="FFFFFF"/>
          <w:lang w:bidi="ar"/>
        </w:rPr>
        <w:t>9</w:t>
      </w:r>
      <w:r>
        <w:rPr>
          <w:rFonts w:cs="宋体"/>
          <w:color w:val="auto"/>
          <w:kern w:val="0"/>
          <w:sz w:val="24"/>
          <w:shd w:val="clear" w:color="auto" w:fill="FFFFFF"/>
          <w:lang w:bidi="ar"/>
        </w:rPr>
        <w:t>年07月</w:t>
      </w:r>
      <w:r>
        <w:rPr>
          <w:rFonts w:hint="eastAsia" w:cs="宋体"/>
          <w:color w:val="auto"/>
          <w:kern w:val="0"/>
          <w:sz w:val="24"/>
          <w:shd w:val="clear" w:color="auto" w:fill="FFFFFF"/>
          <w:lang w:bidi="ar"/>
        </w:rPr>
        <w:t>。</w:t>
      </w: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59CB80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textAlignment w:val="auto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《金融学基础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金融硕士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》考试大纲概述：</w:t>
      </w:r>
    </w:p>
    <w:p w14:paraId="6E8BE59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480" w:firstLineChars="200"/>
        <w:textAlignment w:val="auto"/>
        <w:rPr>
          <w:rFonts w:hint="eastAsia"/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lang w:eastAsia="zh-CN"/>
        </w:rPr>
        <w:t>考查</w:t>
      </w:r>
      <w:r>
        <w:rPr>
          <w:rFonts w:hint="eastAsia"/>
          <w:b w:val="0"/>
          <w:bCs/>
          <w:sz w:val="24"/>
          <w:szCs w:val="24"/>
        </w:rPr>
        <w:t>学生对金融学和公司财务的基本知识的掌握和运用能力，注重对学生知识结构和运用知识的</w:t>
      </w:r>
      <w:r>
        <w:rPr>
          <w:rFonts w:hint="eastAsia"/>
          <w:b w:val="0"/>
          <w:bCs/>
          <w:sz w:val="24"/>
          <w:szCs w:val="24"/>
          <w:lang w:eastAsia="zh-CN"/>
        </w:rPr>
        <w:t>考查</w:t>
      </w:r>
      <w:r>
        <w:rPr>
          <w:rFonts w:hint="eastAsia"/>
          <w:b w:val="0"/>
          <w:bCs/>
          <w:sz w:val="24"/>
          <w:szCs w:val="24"/>
        </w:rPr>
        <w:t>。</w:t>
      </w:r>
    </w:p>
    <w:p w14:paraId="7D75D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一、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金融学</w:t>
      </w:r>
    </w:p>
    <w:p w14:paraId="3FCF8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一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货币与货币制度</w:t>
      </w:r>
    </w:p>
    <w:p w14:paraId="35D4C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1.货币的职能与货币制度</w:t>
      </w:r>
    </w:p>
    <w:p w14:paraId="0F35E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2.国际货币体系</w:t>
      </w:r>
    </w:p>
    <w:p w14:paraId="18D00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利息和利率</w:t>
      </w:r>
    </w:p>
    <w:p w14:paraId="3D841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1.利息</w:t>
      </w:r>
    </w:p>
    <w:p w14:paraId="32855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2.利率决定理论</w:t>
      </w:r>
    </w:p>
    <w:p w14:paraId="332A6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3.利率的期限结构</w:t>
      </w:r>
    </w:p>
    <w:p w14:paraId="6C54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外汇与汇率</w:t>
      </w:r>
    </w:p>
    <w:p w14:paraId="72538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1.外汇</w:t>
      </w:r>
    </w:p>
    <w:p w14:paraId="3180C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2.汇率与汇率制度</w:t>
      </w:r>
    </w:p>
    <w:p w14:paraId="5FB25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3.币值、利率与汇率</w:t>
      </w:r>
    </w:p>
    <w:p w14:paraId="29691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4.汇率决定理论</w:t>
      </w:r>
    </w:p>
    <w:p w14:paraId="261B8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四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金融市场与机构</w:t>
      </w:r>
    </w:p>
    <w:p w14:paraId="5FEE2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1.金融市场及其要素</w:t>
      </w:r>
    </w:p>
    <w:p w14:paraId="5992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2.货币市场</w:t>
      </w:r>
    </w:p>
    <w:p w14:paraId="27972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3.资本市场</w:t>
      </w:r>
    </w:p>
    <w:p w14:paraId="32DC4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4.衍生工具市场</w:t>
      </w:r>
    </w:p>
    <w:p w14:paraId="3E904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5.金融机构（种类、功能）</w:t>
      </w:r>
    </w:p>
    <w:p w14:paraId="5F639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五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商业银行</w:t>
      </w:r>
    </w:p>
    <w:p w14:paraId="15CEC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1.商业银行的负债业务</w:t>
      </w:r>
    </w:p>
    <w:p w14:paraId="08287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2.商业银行的资产业务</w:t>
      </w:r>
    </w:p>
    <w:p w14:paraId="3B72C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3.商业银行的中间业务和表外业务</w:t>
      </w:r>
    </w:p>
    <w:p w14:paraId="79B90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4.商业银行的风险特征</w:t>
      </w:r>
    </w:p>
    <w:p w14:paraId="0849A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六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现代货币创造机制</w:t>
      </w:r>
    </w:p>
    <w:p w14:paraId="04E5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1.存款货币的创造机制</w:t>
      </w:r>
    </w:p>
    <w:p w14:paraId="3F8F9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2.中央银行职能</w:t>
      </w:r>
    </w:p>
    <w:p w14:paraId="3C29B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3.中央银行体制下的货币创造过程</w:t>
      </w:r>
    </w:p>
    <w:p w14:paraId="578DB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七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货币供求与均衡</w:t>
      </w:r>
    </w:p>
    <w:p w14:paraId="2106A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1.货币需求理论</w:t>
      </w:r>
    </w:p>
    <w:p w14:paraId="1904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2.货币供给</w:t>
      </w:r>
    </w:p>
    <w:p w14:paraId="28801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3.货币均衡</w:t>
      </w:r>
    </w:p>
    <w:p w14:paraId="77960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4.通货膨胀与通货紧缩</w:t>
      </w:r>
    </w:p>
    <w:p w14:paraId="5B1D3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八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货币政策</w:t>
      </w:r>
    </w:p>
    <w:p w14:paraId="61759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1.货币政策及其目标</w:t>
      </w:r>
    </w:p>
    <w:p w14:paraId="70285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2.货币政策工具</w:t>
      </w:r>
    </w:p>
    <w:p w14:paraId="30585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3.货币政策的传导机制和中介指标</w:t>
      </w:r>
    </w:p>
    <w:p w14:paraId="63883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九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国际收支与国际资本流动</w:t>
      </w:r>
    </w:p>
    <w:p w14:paraId="7E833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1.国际收支</w:t>
      </w:r>
    </w:p>
    <w:p w14:paraId="609DD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2.国际储备</w:t>
      </w:r>
    </w:p>
    <w:p w14:paraId="5A294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3.国际资本流动</w:t>
      </w:r>
    </w:p>
    <w:p w14:paraId="2179C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金融监管</w:t>
      </w:r>
    </w:p>
    <w:p w14:paraId="766C3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1.金融监管理论</w:t>
      </w:r>
    </w:p>
    <w:p w14:paraId="7C936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2.巴塞尔协议</w:t>
      </w:r>
    </w:p>
    <w:p w14:paraId="0186D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3.金融机构监管</w:t>
      </w:r>
    </w:p>
    <w:p w14:paraId="1F1BD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4.金融市场监管</w:t>
      </w:r>
    </w:p>
    <w:p w14:paraId="476F8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</w:p>
    <w:p w14:paraId="0499E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公司财务</w:t>
      </w:r>
    </w:p>
    <w:p w14:paraId="613B0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一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公司财务概述</w:t>
      </w:r>
    </w:p>
    <w:p w14:paraId="2D5D5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1.什么是公司财务</w:t>
      </w:r>
    </w:p>
    <w:p w14:paraId="58E7F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2.财务管理目标</w:t>
      </w:r>
    </w:p>
    <w:p w14:paraId="58154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财务报表分析</w:t>
      </w:r>
    </w:p>
    <w:p w14:paraId="177F1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1.会计报表</w:t>
      </w:r>
    </w:p>
    <w:p w14:paraId="63575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2.财务报表比率分析</w:t>
      </w:r>
    </w:p>
    <w:p w14:paraId="293C9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长期财务规划</w:t>
      </w:r>
    </w:p>
    <w:p w14:paraId="582EF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1.销售百分比法</w:t>
      </w:r>
    </w:p>
    <w:p w14:paraId="310F5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2.外部融资与增长</w:t>
      </w:r>
    </w:p>
    <w:p w14:paraId="68D51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四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折现与价值</w:t>
      </w:r>
    </w:p>
    <w:p w14:paraId="1D82E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1.现金流与折现</w:t>
      </w:r>
    </w:p>
    <w:p w14:paraId="1AAD6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2.债券的估值</w:t>
      </w:r>
    </w:p>
    <w:p w14:paraId="54C9D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3.股票的估值</w:t>
      </w:r>
    </w:p>
    <w:p w14:paraId="3F92D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五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资本预算</w:t>
      </w:r>
    </w:p>
    <w:p w14:paraId="44005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1.投资决策方法</w:t>
      </w:r>
    </w:p>
    <w:p w14:paraId="5AFA8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2.增量现金流</w:t>
      </w:r>
    </w:p>
    <w:p w14:paraId="31816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3.净现值运用</w:t>
      </w:r>
    </w:p>
    <w:p w14:paraId="1F10E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4.资本预算中的风险分析</w:t>
      </w:r>
    </w:p>
    <w:p w14:paraId="506FF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六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风险与收益</w:t>
      </w:r>
    </w:p>
    <w:p w14:paraId="143C2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1.风险与收益的度量</w:t>
      </w:r>
    </w:p>
    <w:p w14:paraId="42891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2.均值方差模型</w:t>
      </w:r>
    </w:p>
    <w:p w14:paraId="7DD05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3.资本资产定价模型</w:t>
      </w:r>
    </w:p>
    <w:p w14:paraId="00E7B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4.无套利定价模型</w:t>
      </w:r>
    </w:p>
    <w:p w14:paraId="1B61C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七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加权平均资本成本</w:t>
      </w:r>
    </w:p>
    <w:p w14:paraId="15969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1.贝塔（β）的估计</w:t>
      </w:r>
    </w:p>
    <w:p w14:paraId="6DC27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2.加权平均资本成本（WACC）</w:t>
      </w:r>
    </w:p>
    <w:p w14:paraId="195A2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八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有效市场假说</w:t>
      </w:r>
    </w:p>
    <w:p w14:paraId="08087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1.有效资本市场的概念</w:t>
      </w:r>
    </w:p>
    <w:p w14:paraId="7E07A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2.有效资本市场的形式</w:t>
      </w:r>
    </w:p>
    <w:p w14:paraId="2283B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3.有效市场与公司财务</w:t>
      </w:r>
    </w:p>
    <w:p w14:paraId="1293C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九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资本结构与公司价值</w:t>
      </w:r>
    </w:p>
    <w:p w14:paraId="295A6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1.债务融资与股权融资</w:t>
      </w:r>
    </w:p>
    <w:p w14:paraId="74778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2.资本结构</w:t>
      </w:r>
    </w:p>
    <w:p w14:paraId="5F994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3.MM 定理</w:t>
      </w:r>
    </w:p>
    <w:p w14:paraId="4D9B1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shd w:val="clear" w:color="auto" w:fill="FFFFFF"/>
        </w:rPr>
        <w:t>公司价值评估</w:t>
      </w:r>
    </w:p>
    <w:p w14:paraId="23B75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1.公司价值评估的主要方法</w:t>
      </w:r>
    </w:p>
    <w:p w14:paraId="080BD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textAlignment w:val="auto"/>
        <w:rPr>
          <w:rFonts w:ascii="宋体" w:hAnsi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</w:rPr>
        <w:t>2.三种方法的应用与比较</w:t>
      </w:r>
    </w:p>
    <w:p w14:paraId="4DD2247B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</w:t>
      </w:r>
    </w:p>
    <w:p w14:paraId="56CA8513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                </w:t>
      </w:r>
    </w:p>
    <w:p w14:paraId="52D4C11C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5D84308"/>
    <w:rsid w:val="06A44012"/>
    <w:rsid w:val="09A63811"/>
    <w:rsid w:val="1E4914E1"/>
    <w:rsid w:val="2C334F53"/>
    <w:rsid w:val="2C364D05"/>
    <w:rsid w:val="34AB66CA"/>
    <w:rsid w:val="37681287"/>
    <w:rsid w:val="40A50B21"/>
    <w:rsid w:val="40F02470"/>
    <w:rsid w:val="4FA673B0"/>
    <w:rsid w:val="65E26D67"/>
    <w:rsid w:val="6B136C88"/>
    <w:rsid w:val="6F4310A3"/>
    <w:rsid w:val="77224C13"/>
    <w:rsid w:val="7E303F4B"/>
    <w:rsid w:val="7EFE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2963</Words>
  <Characters>3182</Characters>
  <Lines>0</Lines>
  <Paragraphs>0</Paragraphs>
  <TotalTime>2</TotalTime>
  <ScaleCrop>false</ScaleCrop>
  <LinksUpToDate>false</LinksUpToDate>
  <CharactersWithSpaces>3331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dcterms:modified xsi:type="dcterms:W3CDTF">2026-09-27T09:03:35Z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