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数字经济学</w:t>
      </w:r>
      <w:r>
        <w:rPr>
          <w:rFonts w:hint="eastAsia" w:ascii="黑体" w:hAnsi="黑体" w:eastAsia="黑体" w:cs="黑体"/>
          <w:b/>
          <w:color w:val="000000"/>
          <w:sz w:val="36"/>
          <w:szCs w:val="36"/>
          <w:lang w:eastAsia="zh-CN"/>
        </w:rPr>
        <w:t>（</w:t>
      </w:r>
      <w:r>
        <w:rPr>
          <w:rFonts w:hint="eastAsia" w:ascii="方正小标宋简体" w:hAnsi="方正小标宋简体" w:eastAsia="方正小标宋简体" w:cs="方正小标宋简体"/>
          <w:b/>
          <w:bCs w:val="0"/>
          <w:sz w:val="40"/>
          <w:szCs w:val="40"/>
          <w:lang w:val="en-US" w:eastAsia="zh-CN"/>
        </w:rPr>
        <w:t>0202Z2</w:t>
      </w:r>
      <w:r>
        <w:rPr>
          <w:rFonts w:hint="eastAsia" w:ascii="黑体" w:hAnsi="黑体" w:eastAsia="黑体" w:cs="黑体"/>
          <w:b/>
          <w:color w:val="000000"/>
          <w:sz w:val="36"/>
          <w:szCs w:val="36"/>
          <w:lang w:eastAsia="zh-CN"/>
        </w:rPr>
        <w:t>）</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center"/>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color w:val="FF0000"/>
          <w:sz w:val="28"/>
          <w:szCs w:val="28"/>
          <w:lang w:val="en-US" w:eastAsia="zh-CN"/>
        </w:rPr>
        <w:t xml:space="preserve"> </w:t>
      </w:r>
    </w:p>
    <w:p w14:paraId="2317F7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初试：经济学基础</w:t>
      </w: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p>
    <w:p w14:paraId="2F327A78">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一、名词解释（6题，每题5分，共30分）</w:t>
      </w:r>
    </w:p>
    <w:p w14:paraId="491E013A">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二、简答题（6题，每题10分，共60分）</w:t>
      </w:r>
    </w:p>
    <w:p w14:paraId="6A3E953F">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三、论述题（2题，每题30分，共60分）</w:t>
      </w:r>
    </w:p>
    <w:p w14:paraId="0DDF0C6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FB4929B">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高鸿业：《西方经济学（宏/微观）》第8版 ，中国人民大学出版社2021年。</w:t>
      </w:r>
    </w:p>
    <w:p w14:paraId="463BE83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05AE8D3A">
      <w:pPr>
        <w:keepNext w:val="0"/>
        <w:keepLines w:val="0"/>
        <w:pageBreakBefore w:val="0"/>
        <w:kinsoku/>
        <w:wordWrap/>
        <w:overflowPunct/>
        <w:topLinePunct w:val="0"/>
        <w:autoSpaceDE/>
        <w:bidi w:val="0"/>
        <w:adjustRightInd w:val="0"/>
        <w:snapToGrid w:val="0"/>
        <w:spacing w:line="400" w:lineRule="exact"/>
        <w:ind w:firstLine="241" w:firstLineChars="10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《经济学基础》考试大纲概述：</w:t>
      </w:r>
    </w:p>
    <w:p w14:paraId="30DD2820">
      <w:pPr>
        <w:keepNext w:val="0"/>
        <w:keepLines w:val="0"/>
        <w:pageBreakBefore w:val="0"/>
        <w:widowControl/>
        <w:kinsoku/>
        <w:wordWrap/>
        <w:overflowPunct/>
        <w:topLinePunct w:val="0"/>
        <w:autoSpaceDE/>
        <w:bidi w:val="0"/>
        <w:adjustRightInd w:val="0"/>
        <w:snapToGrid w:val="0"/>
        <w:spacing w:line="400" w:lineRule="exact"/>
        <w:ind w:firstLine="48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lang w:val="en-US" w:eastAsia="zh-CN"/>
        </w:rPr>
        <w:t>考试</w:t>
      </w:r>
      <w:r>
        <w:rPr>
          <w:rFonts w:hint="eastAsia" w:ascii="宋体" w:hAnsi="宋体" w:eastAsia="宋体" w:cs="宋体"/>
          <w:color w:val="000000"/>
          <w:sz w:val="24"/>
          <w:szCs w:val="24"/>
          <w:shd w:val="clear" w:color="auto" w:fill="FFFFFF"/>
        </w:rPr>
        <w:t>内容主要包括</w:t>
      </w:r>
      <w:r>
        <w:rPr>
          <w:rFonts w:hint="eastAsia" w:ascii="宋体" w:hAnsi="宋体" w:eastAsia="宋体" w:cs="宋体"/>
          <w:color w:val="000000"/>
          <w:sz w:val="24"/>
          <w:szCs w:val="24"/>
          <w:shd w:val="clear" w:color="auto" w:fill="FFFFFF"/>
          <w:lang w:val="en-US" w:eastAsia="zh-CN"/>
        </w:rPr>
        <w:t>需求、供给与</w:t>
      </w:r>
      <w:r>
        <w:rPr>
          <w:rFonts w:hint="eastAsia" w:ascii="宋体" w:hAnsi="宋体" w:eastAsia="宋体" w:cs="宋体"/>
          <w:color w:val="000000"/>
          <w:sz w:val="24"/>
          <w:szCs w:val="24"/>
          <w:shd w:val="clear" w:color="auto" w:fill="FFFFFF"/>
        </w:rPr>
        <w:t>价格理论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消费者行为理论（效用理论）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生产理论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成本理论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竞争市场理论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国民收入决定理论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产品与货币市场均衡理论</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宏观经济政策分析</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失业与通货膨胀理论等。</w:t>
      </w:r>
      <w:r>
        <w:rPr>
          <w:rFonts w:hint="eastAsia" w:ascii="宋体" w:hAnsi="宋体" w:eastAsia="宋体" w:cs="宋体"/>
          <w:color w:val="000000"/>
          <w:sz w:val="24"/>
          <w:szCs w:val="24"/>
          <w:shd w:val="clear" w:color="auto" w:fill="FFFFFF"/>
          <w:lang w:val="en-US" w:eastAsia="zh-CN"/>
        </w:rPr>
        <w:t>考察</w:t>
      </w:r>
      <w:r>
        <w:rPr>
          <w:rFonts w:hint="eastAsia" w:ascii="宋体" w:hAnsi="宋体" w:eastAsia="宋体" w:cs="宋体"/>
          <w:color w:val="000000"/>
          <w:sz w:val="24"/>
          <w:szCs w:val="24"/>
          <w:shd w:val="clear" w:color="auto" w:fill="FFFFFF"/>
        </w:rPr>
        <w:t>学生对微观经济学和宏观经济学的基本原理、基本工具和方法的掌握程度，了解其是否具有初步应用这些基本原理和基本方法分析有关问题的能力。</w:t>
      </w:r>
    </w:p>
    <w:p w14:paraId="34C463A0">
      <w:pPr>
        <w:keepNext w:val="0"/>
        <w:keepLines w:val="0"/>
        <w:pageBreakBefore w:val="0"/>
        <w:widowControl/>
        <w:kinsoku/>
        <w:wordWrap/>
        <w:overflowPunct/>
        <w:topLinePunct w:val="0"/>
        <w:autoSpaceDE/>
        <w:bidi w:val="0"/>
        <w:adjustRightInd w:val="0"/>
        <w:snapToGrid w:val="0"/>
        <w:spacing w:line="400" w:lineRule="exact"/>
        <w:textAlignment w:val="auto"/>
        <w:rPr>
          <w:rFonts w:hint="eastAsia" w:ascii="仿宋_GB2312" w:hAnsi="仿宋_GB2312" w:eastAsia="仿宋_GB2312" w:cs="仿宋_GB2312"/>
          <w:b/>
          <w:bCs/>
          <w:color w:val="000000"/>
          <w:sz w:val="28"/>
          <w:szCs w:val="28"/>
          <w:shd w:val="clear" w:color="auto" w:fill="FFFFFF"/>
        </w:rPr>
      </w:pPr>
    </w:p>
    <w:p w14:paraId="1E984F56">
      <w:pPr>
        <w:keepNext w:val="0"/>
        <w:keepLines w:val="0"/>
        <w:pageBreakBefore w:val="0"/>
        <w:widowControl/>
        <w:kinsoku/>
        <w:wordWrap/>
        <w:overflowPunct/>
        <w:topLinePunct w:val="0"/>
        <w:autoSpaceDE/>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
          <w:bCs/>
          <w:color w:val="000000"/>
          <w:sz w:val="24"/>
          <w:szCs w:val="24"/>
          <w:shd w:val="clear" w:color="auto" w:fill="FFFFFF"/>
        </w:rPr>
        <w:t>第一部分  微观经济理论</w:t>
      </w:r>
    </w:p>
    <w:p w14:paraId="529A632C">
      <w:pPr>
        <w:keepNext w:val="0"/>
        <w:keepLines w:val="0"/>
        <w:pageBreakBefore w:val="0"/>
        <w:widowControl/>
        <w:kinsoku/>
        <w:wordWrap/>
        <w:overflowPunct/>
        <w:topLinePunct w:val="0"/>
        <w:autoSpaceDE/>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Cs/>
          <w:color w:val="000000"/>
          <w:sz w:val="24"/>
          <w:szCs w:val="24"/>
          <w:shd w:val="clear" w:color="auto" w:fill="FFFFFF"/>
        </w:rPr>
        <w:t>一、需求、供给与价格理论</w:t>
      </w:r>
    </w:p>
    <w:p w14:paraId="43E1CB2A">
      <w:pPr>
        <w:keepNext w:val="0"/>
        <w:keepLines w:val="0"/>
        <w:pageBreakBefore w:val="0"/>
        <w:numPr>
          <w:ilvl w:val="0"/>
          <w:numId w:val="1"/>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pacing w:val="-17"/>
          <w:sz w:val="24"/>
          <w:szCs w:val="24"/>
          <w:shd w:val="clear" w:color="auto" w:fill="FFFFFF"/>
        </w:rPr>
      </w:pPr>
      <w:r>
        <w:rPr>
          <w:rFonts w:hint="eastAsia" w:ascii="宋体" w:hAnsi="宋体" w:eastAsia="宋体" w:cs="宋体"/>
          <w:color w:val="000000"/>
          <w:spacing w:val="-17"/>
          <w:sz w:val="24"/>
          <w:szCs w:val="24"/>
          <w:shd w:val="clear" w:color="auto" w:fill="FFFFFF"/>
        </w:rPr>
        <w:t>需求理论</w:t>
      </w:r>
    </w:p>
    <w:p w14:paraId="4643A796">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pacing w:val="-13"/>
          <w:sz w:val="24"/>
          <w:szCs w:val="24"/>
          <w:shd w:val="clear" w:color="auto" w:fill="FFFFFF"/>
        </w:rPr>
        <w:t xml:space="preserve">     </w:t>
      </w:r>
      <w:r>
        <w:rPr>
          <w:rFonts w:hint="eastAsia" w:ascii="宋体" w:hAnsi="宋体" w:eastAsia="宋体" w:cs="宋体"/>
          <w:color w:val="000000"/>
          <w:sz w:val="24"/>
          <w:szCs w:val="24"/>
          <w:shd w:val="clear" w:color="auto" w:fill="FFFFFF"/>
        </w:rPr>
        <w:t xml:space="preserve">需求、需求表、需求曲线与需求规律      </w:t>
      </w:r>
    </w:p>
    <w:p w14:paraId="000C8B62">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影响需求的因素：需求函数</w:t>
      </w:r>
    </w:p>
    <w:p w14:paraId="277C3A62">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需求定理</w:t>
      </w:r>
    </w:p>
    <w:p w14:paraId="76B4906D">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需求量的变动与需求的变动</w:t>
      </w:r>
    </w:p>
    <w:p w14:paraId="228F550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供给理论</w:t>
      </w:r>
    </w:p>
    <w:p w14:paraId="0741E145">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pacing w:val="-13"/>
          <w:sz w:val="24"/>
          <w:szCs w:val="24"/>
          <w:shd w:val="clear" w:color="auto" w:fill="FFFFFF"/>
        </w:rPr>
        <w:t xml:space="preserve">  </w:t>
      </w:r>
      <w:r>
        <w:rPr>
          <w:rFonts w:hint="eastAsia" w:ascii="宋体" w:hAnsi="宋体" w:eastAsia="宋体" w:cs="宋体"/>
          <w:color w:val="000000"/>
          <w:spacing w:val="-13"/>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供给、供给表、供给曲线</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影响供给的因素：供给函数</w:t>
      </w:r>
    </w:p>
    <w:p w14:paraId="50C19EC3">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供给定理                    供给量的变动与供给的变动</w:t>
      </w:r>
    </w:p>
    <w:p w14:paraId="166C6A1D">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价格的决定</w:t>
      </w:r>
    </w:p>
    <w:p w14:paraId="028A1794">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均衡价格含义及形成           需求与供给变动对均衡的影响</w:t>
      </w:r>
    </w:p>
    <w:p w14:paraId="1BA60BFB">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需求价格弹性</w:t>
      </w:r>
    </w:p>
    <w:p w14:paraId="715D74E6">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需求价格弹性的含义与分类     影响需求弹性的因素</w:t>
      </w:r>
    </w:p>
    <w:p w14:paraId="645FD166">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弹性理论的运用：需求弹性与总收益</w:t>
      </w:r>
    </w:p>
    <w:p w14:paraId="29E4DC0F">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Cs/>
          <w:color w:val="000000"/>
          <w:sz w:val="24"/>
          <w:szCs w:val="24"/>
          <w:shd w:val="clear" w:color="auto" w:fill="FFFFFF"/>
        </w:rPr>
        <w:t>二、消费者行为理论（效用理论）</w:t>
      </w:r>
    </w:p>
    <w:p w14:paraId="5CAEAF0E">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效用</w:t>
      </w:r>
    </w:p>
    <w:p w14:paraId="5423B317">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基数效用论与序数效用论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总效用与边际效用      </w:t>
      </w:r>
    </w:p>
    <w:p w14:paraId="2B6BC7C2">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边际效用递减规律</w:t>
      </w:r>
    </w:p>
    <w:p w14:paraId="73B0783F">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序数效用论</w:t>
      </w:r>
    </w:p>
    <w:p w14:paraId="21E4B57C">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无差异曲线及特征     消费可能线（预算线）   </w:t>
      </w:r>
    </w:p>
    <w:p w14:paraId="4812284E">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56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消费者均衡</w:t>
      </w:r>
    </w:p>
    <w:p w14:paraId="2B67AF44">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消费者行为理论的运用</w:t>
      </w:r>
    </w:p>
    <w:p w14:paraId="23A639D4">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消费者剩余           消费者行为与需求定理</w:t>
      </w:r>
    </w:p>
    <w:p w14:paraId="615A8419">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
          <w:bCs/>
          <w:color w:val="000000"/>
          <w:sz w:val="24"/>
          <w:szCs w:val="24"/>
          <w:shd w:val="clear" w:color="auto" w:fill="FFFFFF"/>
        </w:rPr>
      </w:pPr>
      <w:r>
        <w:rPr>
          <w:rFonts w:hint="eastAsia" w:ascii="宋体" w:hAnsi="宋体" w:eastAsia="宋体" w:cs="宋体"/>
          <w:bCs/>
          <w:color w:val="000000"/>
          <w:sz w:val="24"/>
          <w:szCs w:val="24"/>
          <w:shd w:val="clear" w:color="auto" w:fill="FFFFFF"/>
        </w:rPr>
        <w:t>三、生产理论</w:t>
      </w:r>
    </w:p>
    <w:p w14:paraId="38BA5CB2">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生产要素与生产函数</w:t>
      </w:r>
    </w:p>
    <w:p w14:paraId="7727E22D">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边际收益递减规律</w:t>
      </w:r>
    </w:p>
    <w:p w14:paraId="364BF055">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总产量、平均产量、边际产量的关系</w:t>
      </w:r>
    </w:p>
    <w:p w14:paraId="7A01257B">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等产量线与等成本线</w:t>
      </w:r>
    </w:p>
    <w:p w14:paraId="08FA7329">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规模报酬</w:t>
      </w:r>
    </w:p>
    <w:p w14:paraId="2C2432F4">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Cs/>
          <w:color w:val="000000"/>
          <w:sz w:val="24"/>
          <w:szCs w:val="24"/>
          <w:shd w:val="clear" w:color="auto" w:fill="FFFFFF"/>
        </w:rPr>
      </w:pPr>
      <w:r>
        <w:rPr>
          <w:rFonts w:hint="eastAsia" w:ascii="宋体" w:hAnsi="宋体" w:eastAsia="宋体" w:cs="宋体"/>
          <w:bCs/>
          <w:color w:val="000000"/>
          <w:sz w:val="24"/>
          <w:szCs w:val="24"/>
          <w:shd w:val="clear" w:color="auto" w:fill="FFFFFF"/>
        </w:rPr>
        <w:t>四、成本与收益理论</w:t>
      </w:r>
    </w:p>
    <w:p w14:paraId="2052013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成本</w:t>
      </w:r>
    </w:p>
    <w:p w14:paraId="655429C0">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会计成本与机会成本        机会成本在企业决策中的作用</w:t>
      </w:r>
    </w:p>
    <w:p w14:paraId="29502A16">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短期成本</w:t>
      </w:r>
    </w:p>
    <w:p w14:paraId="0A9B7F74">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短期成本的分类            各类短期成本的变动规律及其关系</w:t>
      </w:r>
    </w:p>
    <w:p w14:paraId="5FF8D9CF">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长期成本</w:t>
      </w:r>
    </w:p>
    <w:p w14:paraId="796CAA47">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长期总成本               长期平均成本       长期边际成本</w:t>
      </w:r>
    </w:p>
    <w:p w14:paraId="72D05F8F">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收益与利润最大化</w:t>
      </w:r>
    </w:p>
    <w:p w14:paraId="35BDAB7B">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总收益、平均收益与边际收益     利润最大化原则</w:t>
      </w:r>
    </w:p>
    <w:p w14:paraId="22CAC3A6">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
          <w:bCs/>
          <w:color w:val="000000"/>
          <w:sz w:val="24"/>
          <w:szCs w:val="24"/>
          <w:shd w:val="clear" w:color="auto" w:fill="FFFFFF"/>
        </w:rPr>
      </w:pPr>
      <w:r>
        <w:rPr>
          <w:rFonts w:hint="eastAsia" w:ascii="宋体" w:hAnsi="宋体" w:eastAsia="宋体" w:cs="宋体"/>
          <w:bCs/>
          <w:color w:val="000000"/>
          <w:sz w:val="24"/>
          <w:szCs w:val="24"/>
          <w:shd w:val="clear" w:color="auto" w:fill="FFFFFF"/>
        </w:rPr>
        <w:t>五、竞争市场理论</w:t>
      </w:r>
    </w:p>
    <w:p w14:paraId="2616ABE2">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市场结构</w:t>
      </w:r>
    </w:p>
    <w:p w14:paraId="583FF2AF">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市场结构类型                   市场结构与企业行为的关系</w:t>
      </w:r>
    </w:p>
    <w:p w14:paraId="4E6B0A93">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完全竞争市场</w:t>
      </w:r>
    </w:p>
    <w:p w14:paraId="13884794">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完全竞争市场含义与特征     </w:t>
      </w:r>
    </w:p>
    <w:p w14:paraId="4D408DD9">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完全竞争市场需求曲线、平均收益与边际收益</w:t>
      </w:r>
    </w:p>
    <w:p w14:paraId="141B1586">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 利润最大化的基本原则       </w:t>
      </w:r>
    </w:p>
    <w:p w14:paraId="0FEAA0AF">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完全竞争市场上的短期均衡与长期均衡</w:t>
      </w:r>
    </w:p>
    <w:p w14:paraId="2758DDB8">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非完全竞争市场</w:t>
      </w:r>
    </w:p>
    <w:p w14:paraId="3546901F">
      <w:pPr>
        <w:keepNext w:val="0"/>
        <w:keepLines w:val="0"/>
        <w:pageBreakBefore w:val="0"/>
        <w:numPr>
          <w:ilvl w:val="0"/>
          <w:numId w:val="0"/>
        </w:numPr>
        <w:shd w:val="solid" w:color="FFFFFF" w:fill="auto"/>
        <w:kinsoku/>
        <w:wordWrap/>
        <w:overflowPunct/>
        <w:topLinePunct w:val="0"/>
        <w:autoSpaceDE/>
        <w:autoSpaceDN w:val="0"/>
        <w:bidi w:val="0"/>
        <w:adjustRightInd w:val="0"/>
        <w:snapToGrid w:val="0"/>
        <w:spacing w:line="400" w:lineRule="exact"/>
        <w:ind w:leftChars="0"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完全垄断、垄断竞争和寡头垄断市场的条件及其特征</w:t>
      </w:r>
    </w:p>
    <w:p w14:paraId="4877892A">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完全垄断厂商的需求曲线、平均收益与边际收益</w:t>
      </w:r>
    </w:p>
    <w:p w14:paraId="271CD1CC">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垄断市场上的短期均衡与长期均衡</w:t>
      </w:r>
    </w:p>
    <w:p w14:paraId="333E3B62">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firstLineChars="20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垄断竞争与完全竞争的比较</w:t>
      </w:r>
    </w:p>
    <w:p w14:paraId="31CD9086">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垄断竞争市场上的产品差别竞争    </w:t>
      </w:r>
    </w:p>
    <w:p w14:paraId="22FB5D40">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
          <w:bCs/>
          <w:color w:val="000000"/>
          <w:sz w:val="24"/>
          <w:szCs w:val="24"/>
          <w:shd w:val="clear" w:color="auto" w:fill="FFFFFF"/>
        </w:rPr>
      </w:pPr>
    </w:p>
    <w:p w14:paraId="11058AA2">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
          <w:bCs/>
          <w:color w:val="000000"/>
          <w:sz w:val="24"/>
          <w:szCs w:val="24"/>
          <w:shd w:val="clear" w:color="auto" w:fill="FFFFFF"/>
        </w:rPr>
        <w:t>第二部分  宏观经济理论</w:t>
      </w:r>
    </w:p>
    <w:p w14:paraId="65DEDD4D">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Cs/>
          <w:color w:val="000000"/>
          <w:sz w:val="24"/>
          <w:szCs w:val="24"/>
          <w:shd w:val="clear" w:color="auto" w:fill="FFFFFF"/>
        </w:rPr>
        <w:t>一、国民收入决定理论</w:t>
      </w:r>
    </w:p>
    <w:p w14:paraId="26BA2084">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国内生产总值</w:t>
      </w:r>
    </w:p>
    <w:p w14:paraId="69E5F13E">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国内生产总值的含义                       </w:t>
      </w:r>
    </w:p>
    <w:p w14:paraId="7834120D">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国内生产总值的计算方法</w:t>
      </w:r>
    </w:p>
    <w:p w14:paraId="34FE89D9">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实际国内生产总值与名义国内生产总值      </w:t>
      </w:r>
    </w:p>
    <w:p w14:paraId="7007F81B">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国内生产总值与人均国内生产总值</w:t>
      </w:r>
    </w:p>
    <w:p w14:paraId="7B77983C">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消费函数、储蓄函数</w:t>
      </w:r>
    </w:p>
    <w:p w14:paraId="38815AD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乘数理论</w:t>
      </w:r>
    </w:p>
    <w:p w14:paraId="1E68E77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其他宏观经济指标</w:t>
      </w:r>
    </w:p>
    <w:p w14:paraId="77FBEAF6">
      <w:pPr>
        <w:keepNext w:val="0"/>
        <w:keepLines w:val="0"/>
        <w:pageBreakBefore w:val="0"/>
        <w:shd w:val="solid" w:color="FFFFFF" w:fill="auto"/>
        <w:kinsoku/>
        <w:wordWrap/>
        <w:overflowPunct/>
        <w:topLinePunct w:val="0"/>
        <w:autoSpaceDE/>
        <w:autoSpaceDN w:val="0"/>
        <w:bidi w:val="0"/>
        <w:adjustRightInd w:val="0"/>
        <w:snapToGrid w:val="0"/>
        <w:spacing w:line="400" w:lineRule="exact"/>
        <w:ind w:firstLine="48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物价指数                       失业率</w:t>
      </w:r>
    </w:p>
    <w:p w14:paraId="6109F722">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bCs/>
          <w:color w:val="000000"/>
          <w:sz w:val="24"/>
          <w:szCs w:val="24"/>
          <w:shd w:val="clear" w:color="auto" w:fill="FFFFFF"/>
        </w:rPr>
        <w:t>二、产品市场和货币市场的一般均衡理论</w:t>
      </w:r>
    </w:p>
    <w:p w14:paraId="20D30972">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投资的决定</w:t>
      </w:r>
    </w:p>
    <w:p w14:paraId="0A13BD2C">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实际利率与投资                  边际效率</w:t>
      </w:r>
    </w:p>
    <w:p w14:paraId="65467788">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投资边际效率曲线                预期收益与投资</w:t>
      </w:r>
    </w:p>
    <w:p w14:paraId="6689FB56">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商品市场的均衡（IS）曲线</w:t>
      </w:r>
    </w:p>
    <w:p w14:paraId="58B9C03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货币市场的均衡（LM）曲线</w:t>
      </w:r>
    </w:p>
    <w:p w14:paraId="71045A5A">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利率的决定</w:t>
      </w:r>
    </w:p>
    <w:p w14:paraId="22823278">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
          <w:bCs/>
          <w:color w:val="000000"/>
          <w:sz w:val="24"/>
          <w:szCs w:val="24"/>
          <w:shd w:val="clear" w:color="auto" w:fill="FFFFFF"/>
        </w:rPr>
      </w:pPr>
      <w:r>
        <w:rPr>
          <w:rFonts w:hint="eastAsia" w:ascii="宋体" w:hAnsi="宋体" w:eastAsia="宋体" w:cs="宋体"/>
          <w:bCs/>
          <w:color w:val="000000"/>
          <w:sz w:val="24"/>
          <w:szCs w:val="24"/>
          <w:shd w:val="clear" w:color="auto" w:fill="FFFFFF"/>
        </w:rPr>
        <w:t xml:space="preserve">三、宏观经济政策分析 </w:t>
      </w:r>
    </w:p>
    <w:p w14:paraId="4F48215F">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财政政策和货币政策的影响</w:t>
      </w:r>
    </w:p>
    <w:p w14:paraId="23DB81CB">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财政政策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 货币政策</w:t>
      </w:r>
    </w:p>
    <w:p w14:paraId="15C6C8A0">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财政政策和货币政策的影响    财政政策和货币政策的混合使用</w:t>
      </w:r>
    </w:p>
    <w:p w14:paraId="1D35E149">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经济政策目标</w:t>
      </w:r>
    </w:p>
    <w:p w14:paraId="7064629D">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充分就业                  价格稳定 </w:t>
      </w:r>
    </w:p>
    <w:p w14:paraId="426926FA">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经济持续均衡增长          国际收支平衡。</w:t>
      </w:r>
    </w:p>
    <w:p w14:paraId="2813649B">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财政政策</w:t>
      </w:r>
    </w:p>
    <w:p w14:paraId="6A8CC9EC">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财政政策工具          </w:t>
      </w:r>
      <w:r>
        <w:rPr>
          <w:rFonts w:hint="eastAsia" w:ascii="宋体" w:hAnsi="宋体" w:eastAsia="宋体" w:cs="宋体"/>
          <w:color w:val="000000"/>
          <w:sz w:val="24"/>
          <w:szCs w:val="24"/>
          <w:shd w:val="clear" w:color="auto" w:fill="FFFFFF"/>
          <w:lang w:val="en-US" w:eastAsia="zh-CN"/>
        </w:rPr>
        <w:t xml:space="preserve"> </w:t>
      </w:r>
      <w:r>
        <w:rPr>
          <w:rFonts w:hint="eastAsia" w:ascii="宋体" w:hAnsi="宋体" w:eastAsia="宋体" w:cs="宋体"/>
          <w:color w:val="000000"/>
          <w:sz w:val="24"/>
          <w:szCs w:val="24"/>
          <w:shd w:val="clear" w:color="auto" w:fill="FFFFFF"/>
        </w:rPr>
        <w:t xml:space="preserve">   自动稳定与相机抉择的财政政策</w:t>
      </w:r>
    </w:p>
    <w:p w14:paraId="12F82735">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功能财政和预算盈余        充分就业预算盈余与财政政策方向</w:t>
      </w:r>
    </w:p>
    <w:p w14:paraId="47791B96">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货币政策</w:t>
      </w:r>
    </w:p>
    <w:p w14:paraId="622615ED">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商业银行和中央银行               存款创造和货币供给</w:t>
      </w:r>
    </w:p>
    <w:p w14:paraId="2C4136CA">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债券价格与市场利息率的关系       货币政策及其工具</w:t>
      </w:r>
    </w:p>
    <w:p w14:paraId="5200718F">
      <w:pPr>
        <w:keepNext w:val="0"/>
        <w:keepLines w:val="0"/>
        <w:pageBreakBefore w:val="0"/>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b/>
          <w:bCs/>
          <w:color w:val="000000"/>
          <w:sz w:val="24"/>
          <w:szCs w:val="24"/>
          <w:shd w:val="clear" w:color="auto" w:fill="FFFFFF"/>
        </w:rPr>
      </w:pPr>
      <w:r>
        <w:rPr>
          <w:rFonts w:hint="eastAsia" w:ascii="宋体" w:hAnsi="宋体" w:eastAsia="宋体" w:cs="宋体"/>
          <w:bCs/>
          <w:color w:val="000000"/>
          <w:sz w:val="24"/>
          <w:szCs w:val="24"/>
          <w:shd w:val="clear" w:color="auto" w:fill="FFFFFF"/>
        </w:rPr>
        <w:t>四、失业、通货膨胀理论</w:t>
      </w:r>
    </w:p>
    <w:p w14:paraId="120EC5C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失业理论</w:t>
      </w:r>
    </w:p>
    <w:p w14:paraId="23B5FC3B">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失业的分类                       自然失业率和自然就业率  </w:t>
      </w:r>
    </w:p>
    <w:p w14:paraId="500352D3">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失业的影响                       奥肯定律</w:t>
      </w:r>
    </w:p>
    <w:p w14:paraId="30DE3BB0">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通货膨胀理论</w:t>
      </w:r>
    </w:p>
    <w:p w14:paraId="03CE8016">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通货膨胀的含义与分类             通货膨胀对经济的影响  </w:t>
      </w:r>
    </w:p>
    <w:p w14:paraId="5A271349">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 xml:space="preserve">通货膨胀的原因                   需求拉动的通货膨胀理论    </w:t>
      </w:r>
    </w:p>
    <w:p w14:paraId="26CEE799">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供给推动的通货膨胀理论           其他通货膨胀理论</w:t>
      </w:r>
    </w:p>
    <w:p w14:paraId="7C9730BE">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治理通货膨胀的对策</w:t>
      </w:r>
    </w:p>
    <w:p w14:paraId="2417A248">
      <w:pPr>
        <w:keepNext w:val="0"/>
        <w:keepLines w:val="0"/>
        <w:pageBreakBefore w:val="0"/>
        <w:numPr>
          <w:ilvl w:val="0"/>
          <w:numId w:val="2"/>
        </w:numPr>
        <w:shd w:val="solid" w:color="FFFFFF" w:fill="auto"/>
        <w:kinsoku/>
        <w:wordWrap/>
        <w:overflowPunct/>
        <w:topLinePunct w:val="0"/>
        <w:autoSpaceDE/>
        <w:autoSpaceDN w:val="0"/>
        <w:bidi w:val="0"/>
        <w:adjustRightInd w:val="0"/>
        <w:snapToGrid w:val="0"/>
        <w:spacing w:line="400" w:lineRule="exact"/>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菲利普斯曲线</w:t>
      </w:r>
    </w:p>
    <w:p w14:paraId="05DE1E9D">
      <w:pPr>
        <w:keepNext w:val="0"/>
        <w:keepLines w:val="0"/>
        <w:pageBreakBefore w:val="0"/>
        <w:shd w:val="solid" w:color="FFFFFF" w:fill="auto"/>
        <w:kinsoku/>
        <w:wordWrap/>
        <w:overflowPunct/>
        <w:topLinePunct w:val="0"/>
        <w:autoSpaceDE/>
        <w:autoSpaceDN w:val="0"/>
        <w:bidi w:val="0"/>
        <w:adjustRightInd w:val="0"/>
        <w:snapToGrid w:val="0"/>
        <w:spacing w:line="400" w:lineRule="exact"/>
        <w:ind w:left="420"/>
        <w:textAlignment w:val="auto"/>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菲利普斯曲线的提出               菲利普斯曲线的政策含义</w:t>
      </w: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宋体" w:hAnsi="宋体" w:eastAsia="宋体" w:cs="宋体"/>
          <w:b/>
          <w:bCs w:val="0"/>
          <w:sz w:val="24"/>
          <w:szCs w:val="24"/>
          <w:lang w:val="en-US" w:eastAsia="zh-CN"/>
        </w:rPr>
      </w:pPr>
    </w:p>
    <w:p w14:paraId="0CFF27B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71032B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04E1D6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63B2DA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444230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1821C8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E49904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CA48A4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943216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复试笔试：数字经济学</w:t>
      </w:r>
    </w:p>
    <w:p w14:paraId="52833B7A">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一、简答题  （4题，每题10分，共40分）</w:t>
      </w:r>
    </w:p>
    <w:p w14:paraId="362FEE5B">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二、论述题  （2题，每题20分，共40分）</w:t>
      </w:r>
    </w:p>
    <w:p w14:paraId="176FCE80">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三、材料分析题（1题，每题20分，共20分）</w:t>
      </w:r>
    </w:p>
    <w:p w14:paraId="0947DB1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5C7C740B">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《数字经济学》，作者：孙毅，机械工程出版社，2022年。</w:t>
      </w: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3B70BB6C">
      <w:pPr>
        <w:rPr>
          <w:rFonts w:hint="eastAsia" w:eastAsiaTheme="minorEastAsia"/>
          <w:lang w:val="en-US" w:eastAsia="zh-CN"/>
        </w:rPr>
      </w:pPr>
    </w:p>
    <w:p w14:paraId="4BC13624">
      <w:pPr>
        <w:keepNext w:val="0"/>
        <w:keepLines w:val="0"/>
        <w:pageBreakBefore w:val="0"/>
        <w:widowControl/>
        <w:kinsoku/>
        <w:wordWrap/>
        <w:overflowPunct/>
        <w:topLinePunct w:val="0"/>
        <w:autoSpaceDE/>
        <w:autoSpaceDN/>
        <w:bidi w:val="0"/>
        <w:adjustRightInd w:val="0"/>
        <w:snapToGrid w:val="0"/>
        <w:spacing w:line="400" w:lineRule="exact"/>
        <w:ind w:firstLine="482"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《数字经济学》考试大纲概述：</w:t>
      </w:r>
    </w:p>
    <w:p w14:paraId="6B725BF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学生应掌握数字经济学相关的基本概念、基本理论。考察学生对数字经济学基本知识的掌握和运用能力；注重对学生知识结构的考察，考察学生综合运用数字经济学知识解决相关实际问题的能力。</w:t>
      </w:r>
    </w:p>
    <w:p w14:paraId="000EB53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一、免费的销售策略</w:t>
      </w:r>
    </w:p>
    <w:p w14:paraId="65504B9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数字产品</w:t>
      </w:r>
    </w:p>
    <w:p w14:paraId="11AEDA42">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完全免费策略</w:t>
      </w:r>
    </w:p>
    <w:p w14:paraId="6C6B80CA">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部分免费策略</w:t>
      </w:r>
    </w:p>
    <w:p w14:paraId="5F4D58C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锁定效应</w:t>
      </w:r>
    </w:p>
    <w:p w14:paraId="6CCFF7A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二、数字市场价格歧视</w:t>
      </w:r>
    </w:p>
    <w:p w14:paraId="409D37BA">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在线拍卖</w:t>
      </w:r>
    </w:p>
    <w:p w14:paraId="1690BC7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个性化定价</w:t>
      </w:r>
    </w:p>
    <w:p w14:paraId="456C403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捆绑销售</w:t>
      </w:r>
    </w:p>
    <w:p w14:paraId="58BB3A5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三、搜索成本</w:t>
      </w:r>
    </w:p>
    <w:p w14:paraId="494D75D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数字经济中的搜索成本</w:t>
      </w:r>
    </w:p>
    <w:p w14:paraId="4F82645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价格离散与最优搜索次数</w:t>
      </w:r>
    </w:p>
    <w:p w14:paraId="324F7AC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电子商务的市场效率</w:t>
      </w:r>
    </w:p>
    <w:p w14:paraId="1800DC9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四、稠密市场</w:t>
      </w:r>
    </w:p>
    <w:p w14:paraId="726D986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稠密市场的几种形式</w:t>
      </w:r>
    </w:p>
    <w:p w14:paraId="7F11BC0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稠密市场的交易机制</w:t>
      </w:r>
    </w:p>
    <w:p w14:paraId="472211B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稠密市场的定价</w:t>
      </w:r>
    </w:p>
    <w:p w14:paraId="66EE094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五、网络外部性</w:t>
      </w:r>
    </w:p>
    <w:p w14:paraId="1FC0F8F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网络外部性的基本概念</w:t>
      </w:r>
    </w:p>
    <w:p w14:paraId="1DD2D2CF">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网络外部性与用户选择</w:t>
      </w:r>
    </w:p>
    <w:p w14:paraId="54F188D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网络外部性与企业定价</w:t>
      </w:r>
    </w:p>
    <w:p w14:paraId="7B674B1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网络外部性与市场垄断</w:t>
      </w:r>
    </w:p>
    <w:p w14:paraId="72C5960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六、双边市场</w:t>
      </w:r>
    </w:p>
    <w:p w14:paraId="5223DE6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双边市场的定义与分类</w:t>
      </w:r>
    </w:p>
    <w:p w14:paraId="148354C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双边市场的定价模型</w:t>
      </w:r>
    </w:p>
    <w:p w14:paraId="69960C7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双边市场的补贴策略</w:t>
      </w:r>
    </w:p>
    <w:p w14:paraId="741FE2B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双边市场与纵向一体化</w:t>
      </w:r>
    </w:p>
    <w:p w14:paraId="3F831CC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七、平台经济</w:t>
      </w:r>
    </w:p>
    <w:p w14:paraId="6AB0804A">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平台经济的基本内涵</w:t>
      </w:r>
    </w:p>
    <w:p w14:paraId="4E5CF9E2">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平台经济的结构与竞争</w:t>
      </w:r>
    </w:p>
    <w:p w14:paraId="7FF2F18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平台竞争的“触媒”效应</w:t>
      </w:r>
    </w:p>
    <w:p w14:paraId="6C60E2E1">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八、兼容性与网络竞争</w:t>
      </w:r>
    </w:p>
    <w:p w14:paraId="0903D81F">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网络接入</w:t>
      </w:r>
    </w:p>
    <w:p w14:paraId="6125541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瓶颈竞争</w:t>
      </w:r>
    </w:p>
    <w:p w14:paraId="456FC8C3">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兼容策略</w:t>
      </w:r>
    </w:p>
    <w:p w14:paraId="756B170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九、平台垄断</w:t>
      </w:r>
    </w:p>
    <w:p w14:paraId="4BFA573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平台垄断的典型特征</w:t>
      </w:r>
    </w:p>
    <w:p w14:paraId="60AE0D1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平台经济的相关市场</w:t>
      </w:r>
    </w:p>
    <w:p w14:paraId="35E1B2C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平台反垄断的创新激励</w:t>
      </w:r>
    </w:p>
    <w:p w14:paraId="657C6C4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十、数字经济统计核算</w:t>
      </w:r>
    </w:p>
    <w:p w14:paraId="7620336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数字经济统计核算的主要问题</w:t>
      </w:r>
    </w:p>
    <w:p w14:paraId="63B054F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数字经济统计核算方法</w:t>
      </w:r>
    </w:p>
    <w:p w14:paraId="216D849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数字经济卫星账户</w:t>
      </w:r>
    </w:p>
    <w:p w14:paraId="231163E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数字经济的溢出效应</w:t>
      </w:r>
    </w:p>
    <w:p w14:paraId="57664A1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数字经济发展水平的评估</w:t>
      </w:r>
    </w:p>
    <w:p w14:paraId="535A47A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十一、数字经济与就业</w:t>
      </w:r>
    </w:p>
    <w:p w14:paraId="61D3D763">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基于新古典理论延伸的数字化与就业</w:t>
      </w:r>
    </w:p>
    <w:p w14:paraId="75A5822F">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替代弹性和数字化下的内生技术进步</w:t>
      </w:r>
    </w:p>
    <w:p w14:paraId="622F5F8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人工智能与就业</w:t>
      </w:r>
    </w:p>
    <w:p w14:paraId="49D2A7E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数字化时代的劳动者保护和政府政策</w:t>
      </w:r>
    </w:p>
    <w:p w14:paraId="6CFF1FB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十二、数字货币</w:t>
      </w:r>
    </w:p>
    <w:p w14:paraId="2AA3DEA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数字货币概述</w:t>
      </w:r>
    </w:p>
    <w:p w14:paraId="0AF2A349">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私人数字货币的定价与监管</w:t>
      </w:r>
    </w:p>
    <w:p w14:paraId="4F98FDB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央行数字货币的传导机制</w:t>
      </w:r>
    </w:p>
    <w:p w14:paraId="3A4D592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央行数字货币对宏观经济的影响</w:t>
      </w:r>
    </w:p>
    <w:p w14:paraId="713DAC9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十三、数据隐私的博弈</w:t>
      </w:r>
    </w:p>
    <w:p w14:paraId="0E26D11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隐私的经济学观点</w:t>
      </w:r>
    </w:p>
    <w:p w14:paraId="3FD6BA4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基于消费者隐私信息的市场博弈</w:t>
      </w:r>
    </w:p>
    <w:p w14:paraId="385A01F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均衡策略与隐私信息披露的福利</w:t>
      </w:r>
    </w:p>
    <w:p w14:paraId="2716EAE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隐私信息监管与产权治理</w:t>
      </w:r>
    </w:p>
    <w:p w14:paraId="3502CA6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十四、数据资产定价</w:t>
      </w:r>
    </w:p>
    <w:p w14:paraId="420DAF1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数据资产的界定和交易</w:t>
      </w:r>
    </w:p>
    <w:p w14:paraId="31942E8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数据价值链</w:t>
      </w:r>
    </w:p>
    <w:p w14:paraId="2225610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数据资产定价</w:t>
      </w:r>
    </w:p>
    <w:p w14:paraId="48F5728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十五、数据治理</w:t>
      </w:r>
    </w:p>
    <w:p w14:paraId="266CCCD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数据治理的基本内涵</w:t>
      </w:r>
    </w:p>
    <w:p w14:paraId="43A4A20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数据开放共享与数据产权</w:t>
      </w:r>
    </w:p>
    <w:p w14:paraId="176A5BB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数据跨境流动</w:t>
      </w:r>
    </w:p>
    <w:p w14:paraId="343075A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数据治理的立法与监管实践</w:t>
      </w:r>
    </w:p>
    <w:p w14:paraId="173369E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十六、数字税</w:t>
      </w:r>
    </w:p>
    <w:p w14:paraId="2896E27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数字税的基本内涵 </w:t>
      </w:r>
    </w:p>
    <w:p w14:paraId="10F2F423">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征收数字税的必要性</w:t>
      </w:r>
    </w:p>
    <w:p w14:paraId="404F340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欧盟的数字税实践</w:t>
      </w:r>
    </w:p>
    <w:p w14:paraId="2D172226">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OECD的“双支柱模型”</w:t>
      </w:r>
    </w:p>
    <w:p w14:paraId="2BFFEE7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数字税的反对者</w:t>
      </w:r>
    </w:p>
    <w:p w14:paraId="25AB90A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数字税的异化</w:t>
      </w:r>
    </w:p>
    <w:p w14:paraId="52D4C11C">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11826A57"/>
    <w:rsid w:val="149E0BE6"/>
    <w:rsid w:val="1A9821CA"/>
    <w:rsid w:val="1B2A7AAB"/>
    <w:rsid w:val="1DE170D2"/>
    <w:rsid w:val="1E4914E1"/>
    <w:rsid w:val="255A0F8D"/>
    <w:rsid w:val="2C334F53"/>
    <w:rsid w:val="2D485179"/>
    <w:rsid w:val="2DA77E32"/>
    <w:rsid w:val="34AB66CA"/>
    <w:rsid w:val="40F02470"/>
    <w:rsid w:val="41834D45"/>
    <w:rsid w:val="4F6E725F"/>
    <w:rsid w:val="4FA673B0"/>
    <w:rsid w:val="5A1822FB"/>
    <w:rsid w:val="5AF11F0B"/>
    <w:rsid w:val="65E26D67"/>
    <w:rsid w:val="684F0503"/>
    <w:rsid w:val="6EB64782"/>
    <w:rsid w:val="70E37E46"/>
    <w:rsid w:val="75D158DF"/>
    <w:rsid w:val="75D43A11"/>
    <w:rsid w:val="7DCB09C3"/>
    <w:rsid w:val="7E7A2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2342</Words>
  <Characters>2377</Characters>
  <Lines>0</Lines>
  <Paragraphs>0</Paragraphs>
  <TotalTime>24</TotalTime>
  <ScaleCrop>false</ScaleCrop>
  <LinksUpToDate>false</LinksUpToDate>
  <CharactersWithSpaces>3071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2026-09-26T09:28:03Z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