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EBD3D">
      <w:pPr>
        <w:spacing w:line="560" w:lineRule="exact"/>
        <w:ind w:firstLine="560" w:firstLineChars="200"/>
        <w:jc w:val="left"/>
        <w:rPr>
          <w:rFonts w:hint="eastAsia" w:ascii="仿宋_GB2312" w:hAnsi="仿宋_GB2312" w:eastAsia="仿宋_GB2312" w:cs="仿宋_GB2312"/>
          <w:bCs/>
          <w:color w:val="FF0000"/>
          <w:sz w:val="28"/>
          <w:szCs w:val="28"/>
        </w:rPr>
      </w:pPr>
      <w:r>
        <w:rPr>
          <w:rFonts w:hint="eastAsia" w:ascii="仿宋_GB2312" w:hAnsi="仿宋_GB2312" w:eastAsia="仿宋_GB2312" w:cs="仿宋_GB2312"/>
          <w:bCs/>
          <w:color w:val="FF0000"/>
          <w:sz w:val="28"/>
          <w:szCs w:val="28"/>
        </w:rPr>
        <w:t xml:space="preserve">      </w:t>
      </w:r>
    </w:p>
    <w:p w14:paraId="56AE3759">
      <w:pPr>
        <w:spacing w:line="560" w:lineRule="exact"/>
        <w:ind w:firstLine="1044" w:firstLineChars="200"/>
        <w:jc w:val="center"/>
        <w:rPr>
          <w:rFonts w:hint="eastAsia" w:ascii="方正小标宋简体" w:hAnsi="方正小标宋简体" w:eastAsia="方正小标宋简体" w:cs="方正小标宋简体"/>
          <w:b/>
          <w:sz w:val="52"/>
          <w:szCs w:val="52"/>
        </w:rPr>
      </w:pPr>
    </w:p>
    <w:p w14:paraId="34BDC283">
      <w:pPr>
        <w:spacing w:line="560" w:lineRule="exact"/>
        <w:ind w:firstLine="803" w:firstLineChars="200"/>
        <w:jc w:val="center"/>
        <w:rPr>
          <w:rFonts w:hint="eastAsia" w:ascii="方正小标宋简体" w:hAnsi="方正小标宋简体" w:eastAsia="方正小标宋简体" w:cs="方正小标宋简体"/>
          <w:b/>
          <w:sz w:val="40"/>
          <w:szCs w:val="40"/>
        </w:rPr>
      </w:pPr>
      <w:r>
        <w:rPr>
          <w:rFonts w:hint="eastAsia" w:ascii="方正小标宋简体" w:hAnsi="方正小标宋简体" w:eastAsia="方正小标宋简体" w:cs="方正小标宋简体"/>
          <w:b/>
          <w:sz w:val="40"/>
          <w:szCs w:val="40"/>
        </w:rPr>
        <w:t>理论经济学020100</w:t>
      </w:r>
    </w:p>
    <w:p w14:paraId="5CB8AEC8">
      <w:pPr>
        <w:spacing w:line="560" w:lineRule="exact"/>
        <w:ind w:firstLine="803" w:firstLineChars="200"/>
        <w:jc w:val="center"/>
        <w:rPr>
          <w:rFonts w:hint="eastAsia" w:ascii="方正小标宋简体" w:hAnsi="方正小标宋简体" w:eastAsia="方正小标宋简体" w:cs="方正小标宋简体"/>
          <w:b/>
          <w:sz w:val="40"/>
          <w:szCs w:val="40"/>
        </w:rPr>
      </w:pPr>
      <w:r>
        <w:rPr>
          <w:rFonts w:hint="eastAsia" w:ascii="方正小标宋简体" w:hAnsi="方正小标宋简体" w:eastAsia="方正小标宋简体" w:cs="方正小标宋简体"/>
          <w:b/>
          <w:sz w:val="40"/>
          <w:szCs w:val="40"/>
        </w:rPr>
        <w:t>自命题题型及大纲</w:t>
      </w:r>
    </w:p>
    <w:p w14:paraId="27880B67">
      <w:pPr>
        <w:spacing w:line="560" w:lineRule="exact"/>
        <w:ind w:firstLine="643" w:firstLineChars="200"/>
        <w:jc w:val="center"/>
        <w:rPr>
          <w:rFonts w:hint="eastAsia" w:ascii="黑体" w:hAnsi="黑体" w:eastAsia="黑体" w:cs="黑体"/>
          <w:b/>
          <w:sz w:val="32"/>
          <w:szCs w:val="32"/>
        </w:rPr>
      </w:pPr>
    </w:p>
    <w:p w14:paraId="2317F7B2">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初试：经济学基础</w:t>
      </w:r>
    </w:p>
    <w:p w14:paraId="3793BF05">
      <w:pPr>
        <w:spacing w:line="560" w:lineRule="exact"/>
        <w:ind w:firstLine="640" w:firstLineChars="200"/>
        <w:jc w:val="left"/>
        <w:rPr>
          <w:rFonts w:hint="eastAsia" w:ascii="仿宋_GB2312" w:hAnsi="仿宋_GB2312" w:eastAsia="仿宋_GB2312" w:cs="仿宋_GB2312"/>
          <w:bCs/>
          <w:sz w:val="32"/>
          <w:szCs w:val="32"/>
        </w:rPr>
      </w:pPr>
    </w:p>
    <w:p w14:paraId="5E7547A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一、名词解释  （6题，每题5分，共30分）</w:t>
      </w:r>
    </w:p>
    <w:p w14:paraId="7CB7A0D4">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二、简答题    （6题，每题10分，共60分）</w:t>
      </w:r>
    </w:p>
    <w:p w14:paraId="7FE0C5D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三、论述题    （2题，每题30分，共60分）</w:t>
      </w:r>
    </w:p>
    <w:p w14:paraId="1EFA6F0E">
      <w:pPr>
        <w:spacing w:line="560" w:lineRule="exact"/>
        <w:ind w:firstLine="643" w:firstLineChars="200"/>
        <w:jc w:val="center"/>
        <w:rPr>
          <w:rFonts w:hint="eastAsia" w:ascii="黑体" w:hAnsi="黑体" w:eastAsia="黑体" w:cs="黑体"/>
          <w:b/>
          <w:sz w:val="32"/>
          <w:szCs w:val="32"/>
        </w:rPr>
      </w:pPr>
    </w:p>
    <w:p w14:paraId="213CCE9F">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参考书目：</w:t>
      </w:r>
    </w:p>
    <w:p w14:paraId="32AF63A3">
      <w:pPr>
        <w:spacing w:line="560" w:lineRule="exact"/>
        <w:rPr>
          <w:rFonts w:hint="eastAsia" w:ascii="宋体" w:hAnsi="宋体" w:eastAsia="宋体" w:cs="宋体"/>
          <w:bCs/>
          <w:sz w:val="24"/>
          <w:szCs w:val="24"/>
        </w:rPr>
      </w:pPr>
      <w:r>
        <w:rPr>
          <w:rFonts w:hint="eastAsia" w:ascii="宋体" w:hAnsi="宋体" w:eastAsia="宋体" w:cs="宋体"/>
          <w:bCs/>
          <w:sz w:val="24"/>
          <w:szCs w:val="24"/>
        </w:rPr>
        <w:t>[1]高鸿业.《西方经济学（宏/微观）》第8版 .中国人民大学出版社，2021年.</w:t>
      </w:r>
    </w:p>
    <w:p w14:paraId="177CCBF1">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考试大纲：</w:t>
      </w:r>
    </w:p>
    <w:p w14:paraId="14DF17BD">
      <w:pPr>
        <w:widowControl/>
        <w:adjustRightInd w:val="0"/>
        <w:snapToGrid w:val="0"/>
        <w:jc w:val="center"/>
        <w:rPr>
          <w:rFonts w:hint="eastAsia" w:ascii="仿宋_GB2312" w:hAnsi="仿宋_GB2312" w:eastAsia="仿宋_GB2312" w:cs="仿宋_GB2312"/>
          <w:bCs/>
          <w:sz w:val="32"/>
          <w:szCs w:val="32"/>
        </w:rPr>
      </w:pPr>
    </w:p>
    <w:p w14:paraId="05AE8D3A">
      <w:pPr>
        <w:widowControl/>
        <w:adjustRightInd w:val="0"/>
        <w:snapToGrid w:val="0"/>
        <w:spacing w:line="400" w:lineRule="exact"/>
        <w:ind w:firstLine="281" w:firstLineChars="100"/>
        <w:rPr>
          <w:rFonts w:ascii="宋体" w:hAnsi="宋体" w:eastAsia="宋体" w:cs="宋体"/>
          <w:color w:val="000000"/>
          <w:sz w:val="24"/>
          <w:shd w:val="clear" w:color="auto" w:fill="FFFFFF"/>
        </w:rPr>
      </w:pPr>
      <w:r>
        <w:rPr>
          <w:rFonts w:hint="eastAsia" w:ascii="仿宋_GB2312" w:hAnsi="仿宋_GB2312" w:eastAsia="仿宋_GB2312" w:cs="仿宋_GB2312"/>
          <w:b/>
          <w:color w:val="000000"/>
          <w:kern w:val="0"/>
          <w:sz w:val="28"/>
          <w:szCs w:val="28"/>
        </w:rPr>
        <w:t>《经济学基础》考试大纲概述：</w:t>
      </w:r>
    </w:p>
    <w:p w14:paraId="53AD4319">
      <w:pPr>
        <w:widowControl/>
        <w:adjustRightInd w:val="0"/>
        <w:snapToGrid w:val="0"/>
        <w:ind w:firstLine="480"/>
        <w:rPr>
          <w:rFonts w:hint="eastAsia" w:ascii="宋体" w:hAnsi="宋体" w:eastAsia="宋体" w:cs="宋体"/>
          <w:bCs/>
          <w:sz w:val="24"/>
          <w:szCs w:val="24"/>
        </w:rPr>
      </w:pPr>
      <w:r>
        <w:rPr>
          <w:rFonts w:hint="eastAsia" w:ascii="宋体" w:hAnsi="宋体" w:eastAsia="宋体" w:cs="宋体"/>
          <w:bCs/>
          <w:sz w:val="24"/>
          <w:szCs w:val="24"/>
        </w:rPr>
        <w:t>内容主要包括价格理论，消费者行为理论（效用理论），生产理论，成本理论，竞争市场理论，国民收入决定理论，产品与货币市场均衡理论，宏观经济政策分析，失业与通货膨胀理论等。测试学生对微观经济学和宏观经济学的基本原理、基本工具和方法的掌握程度，了解其是否具有初步应用这些基本原理和基本方法分析有关问题的能力。</w:t>
      </w:r>
    </w:p>
    <w:p w14:paraId="38F3EA9A">
      <w:pPr>
        <w:widowControl/>
        <w:adjustRightInd w:val="0"/>
        <w:snapToGrid w:val="0"/>
        <w:rPr>
          <w:rFonts w:hint="eastAsia" w:ascii="仿宋_GB2312" w:hAnsi="仿宋_GB2312" w:eastAsia="仿宋_GB2312" w:cs="仿宋_GB2312"/>
          <w:bCs/>
          <w:sz w:val="32"/>
          <w:szCs w:val="32"/>
        </w:rPr>
      </w:pPr>
    </w:p>
    <w:p w14:paraId="303AF401">
      <w:pPr>
        <w:widowControl/>
        <w:snapToGrid w:val="0"/>
        <w:rPr>
          <w:rFonts w:hint="eastAsia" w:ascii="宋体" w:hAnsi="宋体" w:eastAsia="宋体" w:cs="宋体"/>
          <w:color w:val="000000"/>
          <w:sz w:val="24"/>
          <w:shd w:val="clear" w:color="auto" w:fill="FFFFFF"/>
        </w:rPr>
      </w:pPr>
      <w:r>
        <w:rPr>
          <w:rFonts w:ascii="宋体" w:hAnsi="宋体" w:eastAsia="宋体" w:cs="宋体"/>
          <w:b/>
          <w:bCs/>
          <w:color w:val="000000"/>
          <w:sz w:val="24"/>
          <w:shd w:val="clear" w:color="auto" w:fill="FFFFFF"/>
        </w:rPr>
        <w:t>第一部分  微观经济理论</w:t>
      </w:r>
    </w:p>
    <w:p w14:paraId="60AFA181">
      <w:pPr>
        <w:widowControl/>
        <w:snapToGrid w:val="0"/>
        <w:rPr>
          <w:rFonts w:hint="eastAsia" w:ascii="宋体" w:hAnsi="宋体" w:eastAsia="宋体" w:cs="宋体"/>
          <w:color w:val="000000"/>
          <w:sz w:val="24"/>
          <w:shd w:val="clear" w:color="auto" w:fill="FFFFFF"/>
        </w:rPr>
      </w:pPr>
      <w:r>
        <w:rPr>
          <w:rFonts w:ascii="宋体" w:hAnsi="宋体" w:eastAsia="宋体" w:cs="宋体"/>
          <w:bCs/>
          <w:color w:val="000000"/>
          <w:sz w:val="24"/>
          <w:shd w:val="clear" w:color="auto" w:fill="FFFFFF"/>
        </w:rPr>
        <w:t>一、需求、供给与价格理论</w:t>
      </w:r>
    </w:p>
    <w:p w14:paraId="4CD3B538">
      <w:pPr>
        <w:numPr>
          <w:ilvl w:val="0"/>
          <w:numId w:val="1"/>
        </w:numPr>
        <w:shd w:val="solid" w:color="FFFFFF" w:fill="auto"/>
        <w:autoSpaceDN w:val="0"/>
        <w:rPr>
          <w:rFonts w:hint="eastAsia" w:ascii="宋体" w:hAnsi="宋体" w:eastAsia="宋体" w:cs="宋体"/>
          <w:color w:val="000000"/>
          <w:spacing w:val="-17"/>
          <w:sz w:val="24"/>
          <w:shd w:val="clear" w:color="auto" w:fill="FFFFFF"/>
        </w:rPr>
      </w:pPr>
      <w:r>
        <w:rPr>
          <w:rFonts w:ascii="宋体" w:hAnsi="宋体" w:eastAsia="宋体" w:cs="宋体"/>
          <w:color w:val="000000"/>
          <w:spacing w:val="-17"/>
          <w:sz w:val="24"/>
          <w:shd w:val="clear" w:color="auto" w:fill="FFFFFF"/>
        </w:rPr>
        <w:t>需求理论</w:t>
      </w:r>
    </w:p>
    <w:p w14:paraId="70DBF9A3">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pacing w:val="-13"/>
          <w:sz w:val="24"/>
          <w:shd w:val="clear" w:color="auto" w:fill="FFFFFF"/>
        </w:rPr>
        <w:t xml:space="preserve">     </w:t>
      </w:r>
      <w:r>
        <w:rPr>
          <w:rFonts w:ascii="宋体" w:hAnsi="宋体" w:eastAsia="宋体" w:cs="宋体"/>
          <w:color w:val="000000"/>
          <w:sz w:val="24"/>
          <w:shd w:val="clear" w:color="auto" w:fill="FFFFFF"/>
        </w:rPr>
        <w:t>需求、需求表、需求曲线与需求规律      影响需求的因素：需求函数</w:t>
      </w:r>
    </w:p>
    <w:p w14:paraId="4204C951">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需求定理                              需求量的变动与需求的变动</w:t>
      </w:r>
    </w:p>
    <w:p w14:paraId="4CABFFDE">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供给理论</w:t>
      </w:r>
    </w:p>
    <w:p w14:paraId="7D83C083">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pacing w:val="-13"/>
          <w:sz w:val="24"/>
          <w:shd w:val="clear" w:color="auto" w:fill="FFFFFF"/>
        </w:rPr>
        <w:t xml:space="preserve">    </w:t>
      </w:r>
      <w:r>
        <w:rPr>
          <w:rFonts w:ascii="宋体" w:hAnsi="宋体" w:eastAsia="宋体" w:cs="宋体"/>
          <w:color w:val="000000"/>
          <w:sz w:val="24"/>
          <w:shd w:val="clear" w:color="auto" w:fill="FFFFFF"/>
        </w:rPr>
        <w:t xml:space="preserve"> 供给、供给表、供给曲线                影响供给的因素：供给函数</w:t>
      </w:r>
    </w:p>
    <w:p w14:paraId="427D4BC3">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供给定理                              供给量的变动与供给的变动</w:t>
      </w:r>
    </w:p>
    <w:p w14:paraId="5BD06083">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价格的决定</w:t>
      </w:r>
    </w:p>
    <w:p w14:paraId="64137846">
      <w:pPr>
        <w:shd w:val="solid" w:color="FFFFFF" w:fill="auto"/>
        <w:autoSpaceDN w:val="0"/>
        <w:ind w:firstLine="48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均衡价格含义及形成                    需求与供给变动对均衡的影响</w:t>
      </w:r>
    </w:p>
    <w:p w14:paraId="59FA0AD7">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需求价格弹性</w:t>
      </w:r>
    </w:p>
    <w:p w14:paraId="687ECC25">
      <w:pPr>
        <w:shd w:val="solid" w:color="FFFFFF" w:fill="auto"/>
        <w:autoSpaceDN w:val="0"/>
        <w:ind w:firstLine="48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需求价格弹性的含义与分类              影响需求弹性的因素</w:t>
      </w:r>
    </w:p>
    <w:p w14:paraId="636A92D0">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弹性理论的运用：需求弹性与总收益</w:t>
      </w:r>
    </w:p>
    <w:p w14:paraId="0A8F1A92">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bCs/>
          <w:color w:val="000000"/>
          <w:sz w:val="24"/>
          <w:shd w:val="clear" w:color="auto" w:fill="FFFFFF"/>
        </w:rPr>
        <w:t>二、消费者行为理论（效用理论）</w:t>
      </w:r>
    </w:p>
    <w:p w14:paraId="2EFB00D2">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效用</w:t>
      </w:r>
    </w:p>
    <w:p w14:paraId="6E5B5174">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基数效用论与序数效用论     总效用与边际效用      边际效用递减规律</w:t>
      </w:r>
    </w:p>
    <w:p w14:paraId="4050AED3">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序数效用论</w:t>
      </w:r>
    </w:p>
    <w:p w14:paraId="724FACD7">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无差异曲线及特征           消费可能线（预算线）   消费者均衡</w:t>
      </w:r>
    </w:p>
    <w:p w14:paraId="75A6AC4A">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消费者行为理论的运用</w:t>
      </w:r>
    </w:p>
    <w:p w14:paraId="162C7A36">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消费者剩余                    消费者行为与需求定理</w:t>
      </w:r>
    </w:p>
    <w:p w14:paraId="43592FAD">
      <w:pPr>
        <w:shd w:val="solid" w:color="FFFFFF" w:fill="auto"/>
        <w:autoSpaceDN w:val="0"/>
        <w:rPr>
          <w:rFonts w:hint="eastAsia" w:ascii="宋体" w:hAnsi="宋体" w:eastAsia="宋体" w:cs="宋体"/>
          <w:b/>
          <w:bCs/>
          <w:color w:val="000000"/>
          <w:sz w:val="24"/>
          <w:shd w:val="clear" w:color="auto" w:fill="FFFFFF"/>
        </w:rPr>
      </w:pPr>
      <w:r>
        <w:rPr>
          <w:rFonts w:ascii="宋体" w:hAnsi="宋体" w:eastAsia="宋体" w:cs="宋体"/>
          <w:bCs/>
          <w:color w:val="000000"/>
          <w:sz w:val="24"/>
          <w:shd w:val="clear" w:color="auto" w:fill="FFFFFF"/>
        </w:rPr>
        <w:t>三、生产理论</w:t>
      </w:r>
    </w:p>
    <w:p w14:paraId="4F86D351">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生产要素与生产函数</w:t>
      </w:r>
    </w:p>
    <w:p w14:paraId="0265B19B">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边际收益递减规律</w:t>
      </w:r>
    </w:p>
    <w:p w14:paraId="125B3F5C">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总产量、平均产量、边际产量的关系</w:t>
      </w:r>
    </w:p>
    <w:p w14:paraId="519A5ACE">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等产量线与等成本线</w:t>
      </w:r>
    </w:p>
    <w:p w14:paraId="299A6C06">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规模报酬</w:t>
      </w:r>
    </w:p>
    <w:p w14:paraId="242EFE32">
      <w:pPr>
        <w:shd w:val="solid" w:color="FFFFFF" w:fill="auto"/>
        <w:autoSpaceDN w:val="0"/>
        <w:rPr>
          <w:rFonts w:hint="eastAsia" w:ascii="宋体" w:hAnsi="宋体" w:eastAsia="宋体" w:cs="宋体"/>
          <w:bCs/>
          <w:color w:val="000000"/>
          <w:sz w:val="24"/>
          <w:shd w:val="clear" w:color="auto" w:fill="FFFFFF"/>
        </w:rPr>
      </w:pPr>
      <w:r>
        <w:rPr>
          <w:rFonts w:ascii="宋体" w:hAnsi="宋体" w:eastAsia="宋体" w:cs="宋体"/>
          <w:bCs/>
          <w:color w:val="000000"/>
          <w:sz w:val="24"/>
          <w:shd w:val="clear" w:color="auto" w:fill="FFFFFF"/>
        </w:rPr>
        <w:t>四、成本与收益理论</w:t>
      </w:r>
    </w:p>
    <w:p w14:paraId="39DA79BD">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成本</w:t>
      </w:r>
    </w:p>
    <w:p w14:paraId="0D7D1CA2">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会计成本与机会成本             机会成本在企业决策中的作用</w:t>
      </w:r>
    </w:p>
    <w:p w14:paraId="13C02595">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短期成本</w:t>
      </w:r>
    </w:p>
    <w:p w14:paraId="4D6E777B">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短期成本的分类                 各类短期成本的变动规律及其关系</w:t>
      </w:r>
    </w:p>
    <w:p w14:paraId="21EA85EC">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长期成本</w:t>
      </w:r>
    </w:p>
    <w:p w14:paraId="3D207937">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长期总成本                     长期平均成本          长期边际成本</w:t>
      </w:r>
    </w:p>
    <w:p w14:paraId="21D6FB97">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收益与利润最大化</w:t>
      </w:r>
    </w:p>
    <w:p w14:paraId="4F7E83B5">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总收益、平均收益与边际收益     利润最大化原则</w:t>
      </w:r>
    </w:p>
    <w:p w14:paraId="438F84E7">
      <w:pPr>
        <w:shd w:val="solid" w:color="FFFFFF" w:fill="auto"/>
        <w:autoSpaceDN w:val="0"/>
        <w:rPr>
          <w:rFonts w:hint="eastAsia" w:ascii="宋体" w:hAnsi="宋体" w:eastAsia="宋体" w:cs="宋体"/>
          <w:b/>
          <w:bCs/>
          <w:color w:val="000000"/>
          <w:sz w:val="24"/>
          <w:shd w:val="clear" w:color="auto" w:fill="FFFFFF"/>
        </w:rPr>
      </w:pPr>
      <w:r>
        <w:rPr>
          <w:rFonts w:ascii="宋体" w:hAnsi="宋体" w:eastAsia="宋体" w:cs="宋体"/>
          <w:bCs/>
          <w:color w:val="000000"/>
          <w:sz w:val="24"/>
          <w:shd w:val="clear" w:color="auto" w:fill="FFFFFF"/>
        </w:rPr>
        <w:t>五、竞争市场理论</w:t>
      </w:r>
    </w:p>
    <w:p w14:paraId="73EA7D10">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市场结构</w:t>
      </w:r>
    </w:p>
    <w:p w14:paraId="05CCC547">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市场结构类型                   市场结构与企业行为的关系</w:t>
      </w:r>
    </w:p>
    <w:p w14:paraId="1BB8EF04">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完全竞争市场</w:t>
      </w:r>
    </w:p>
    <w:p w14:paraId="20B6251A">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完全竞争市场含义与特征     完全竞争市场需求曲线、平均收益与边际收益</w:t>
      </w:r>
    </w:p>
    <w:p w14:paraId="06BA1637">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利润最大化的基本原则       完全竞争市场上的短期均衡与长期均衡</w:t>
      </w:r>
    </w:p>
    <w:p w14:paraId="2BF2DF33">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非完全竞争市场</w:t>
      </w:r>
    </w:p>
    <w:p w14:paraId="1F69693E">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完全垄断、垄断竞争和寡头垄断市场的条件及其特征</w:t>
      </w:r>
    </w:p>
    <w:p w14:paraId="29F72E77">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完全垄断厂商的需求曲线、平均收益与边际收益</w:t>
      </w:r>
    </w:p>
    <w:p w14:paraId="0ABE54E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垄断市场上的短期均衡与长期均衡（了解）</w:t>
      </w:r>
    </w:p>
    <w:p w14:paraId="42CB5125">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垄断竞争与完全竞争的比较</w:t>
      </w:r>
    </w:p>
    <w:p w14:paraId="0CF4D9A0">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垄断竞争市场上的产品差别竞争    </w:t>
      </w:r>
    </w:p>
    <w:p w14:paraId="284D9928">
      <w:pPr>
        <w:shd w:val="solid" w:color="FFFFFF" w:fill="auto"/>
        <w:autoSpaceDN w:val="0"/>
        <w:rPr>
          <w:rFonts w:hint="eastAsia" w:ascii="宋体" w:hAnsi="宋体" w:eastAsia="宋体" w:cs="宋体"/>
          <w:b/>
          <w:bCs/>
          <w:color w:val="000000"/>
          <w:sz w:val="24"/>
          <w:shd w:val="clear" w:color="auto" w:fill="FFFFFF"/>
        </w:rPr>
      </w:pPr>
    </w:p>
    <w:p w14:paraId="43F958B1">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b/>
          <w:bCs/>
          <w:color w:val="000000"/>
          <w:sz w:val="24"/>
          <w:shd w:val="clear" w:color="auto" w:fill="FFFFFF"/>
        </w:rPr>
        <w:t>第二部分  宏观经济理论</w:t>
      </w:r>
    </w:p>
    <w:p w14:paraId="4FCC4AE0">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bCs/>
          <w:color w:val="000000"/>
          <w:sz w:val="24"/>
          <w:shd w:val="clear" w:color="auto" w:fill="FFFFFF"/>
        </w:rPr>
        <w:t>一、国民收入决定理论</w:t>
      </w:r>
    </w:p>
    <w:p w14:paraId="6B6165A3">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国内生产总值</w:t>
      </w:r>
    </w:p>
    <w:p w14:paraId="12851E7F">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国内生产总值的含义                       </w:t>
      </w:r>
    </w:p>
    <w:p w14:paraId="17EFA06B">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国内生产总值的计算方法</w:t>
      </w:r>
    </w:p>
    <w:p w14:paraId="5EE9D7C6">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实际国内生产总值与名义国内生产总值      </w:t>
      </w:r>
    </w:p>
    <w:p w14:paraId="4C07BBE4">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国内生产总值与人均国内生产总值</w:t>
      </w:r>
    </w:p>
    <w:p w14:paraId="5FC0086C">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消费函数、储蓄函数</w:t>
      </w:r>
    </w:p>
    <w:p w14:paraId="650FF4F8">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乘数理论</w:t>
      </w:r>
    </w:p>
    <w:p w14:paraId="3035B0DA">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其他宏观经济指标（了解）</w:t>
      </w:r>
    </w:p>
    <w:p w14:paraId="16CE5E1C">
      <w:pPr>
        <w:shd w:val="solid" w:color="FFFFFF" w:fill="auto"/>
        <w:autoSpaceDN w:val="0"/>
        <w:ind w:firstLine="48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物价指数                       失业率</w:t>
      </w:r>
    </w:p>
    <w:p w14:paraId="05FD1385">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bCs/>
          <w:color w:val="000000"/>
          <w:sz w:val="24"/>
          <w:shd w:val="clear" w:color="auto" w:fill="FFFFFF"/>
        </w:rPr>
        <w:t>二、产品市场和货币市场的一般均衡理论</w:t>
      </w:r>
    </w:p>
    <w:p w14:paraId="58E28365">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投资的决定</w:t>
      </w:r>
    </w:p>
    <w:p w14:paraId="04D7AEBC">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实际利率与投资                  边际效率</w:t>
      </w:r>
    </w:p>
    <w:p w14:paraId="61570B22">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投资边际效率曲线                预期收益与投资</w:t>
      </w:r>
    </w:p>
    <w:p w14:paraId="6352F0F7">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商品市场的均衡（IS）曲线</w:t>
      </w:r>
    </w:p>
    <w:p w14:paraId="7FF316DB">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货币市场的均衡（LM）曲线</w:t>
      </w:r>
    </w:p>
    <w:p w14:paraId="2BC0DBAD">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利率的决定</w:t>
      </w:r>
    </w:p>
    <w:p w14:paraId="20B8491A">
      <w:pPr>
        <w:shd w:val="solid" w:color="FFFFFF" w:fill="auto"/>
        <w:autoSpaceDN w:val="0"/>
        <w:rPr>
          <w:rFonts w:hint="eastAsia" w:ascii="宋体" w:hAnsi="宋体" w:eastAsia="宋体" w:cs="宋体"/>
          <w:b/>
          <w:bCs/>
          <w:color w:val="000000"/>
          <w:sz w:val="24"/>
          <w:shd w:val="clear" w:color="auto" w:fill="FFFFFF"/>
        </w:rPr>
      </w:pPr>
      <w:r>
        <w:rPr>
          <w:rFonts w:ascii="宋体" w:hAnsi="宋体" w:eastAsia="宋体" w:cs="宋体"/>
          <w:bCs/>
          <w:color w:val="000000"/>
          <w:sz w:val="24"/>
          <w:shd w:val="clear" w:color="auto" w:fill="FFFFFF"/>
        </w:rPr>
        <w:t xml:space="preserve">三、宏观经济政策分析 </w:t>
      </w:r>
    </w:p>
    <w:p w14:paraId="58D92856">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财政政策和货币政策的影响</w:t>
      </w:r>
    </w:p>
    <w:p w14:paraId="1DED466F">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                         货币政策</w:t>
      </w:r>
    </w:p>
    <w:p w14:paraId="32B3C5F9">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财政政策和货币政策的影响         财政政策和货币政策的混合使用</w:t>
      </w:r>
    </w:p>
    <w:p w14:paraId="35BEBD65">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经济政策目标</w:t>
      </w:r>
    </w:p>
    <w:p w14:paraId="7174A0A8">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充分就业                         价格稳定 </w:t>
      </w:r>
    </w:p>
    <w:p w14:paraId="22444C7D">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经济持续均衡增长                 国际收支平衡。</w:t>
      </w:r>
    </w:p>
    <w:p w14:paraId="313709D7">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w:t>
      </w:r>
    </w:p>
    <w:p w14:paraId="278139F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财政政策工具                     自动稳定与相机抉择的财政政策</w:t>
      </w:r>
    </w:p>
    <w:p w14:paraId="2398E5A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功能财政和预算盈余               充分就业预算盈余与财政政策方向</w:t>
      </w:r>
    </w:p>
    <w:p w14:paraId="3BAE6732">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货币政策</w:t>
      </w:r>
    </w:p>
    <w:p w14:paraId="2CB9BFDC">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商业银行和中央银行               存款创造和货币供给</w:t>
      </w:r>
    </w:p>
    <w:p w14:paraId="6D021477">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债券价格与市场利息率的关系       货币政策及其工具</w:t>
      </w:r>
    </w:p>
    <w:p w14:paraId="03D80641">
      <w:pPr>
        <w:shd w:val="solid" w:color="FFFFFF" w:fill="auto"/>
        <w:autoSpaceDN w:val="0"/>
        <w:rPr>
          <w:rFonts w:hint="eastAsia" w:ascii="宋体" w:hAnsi="宋体" w:eastAsia="宋体" w:cs="宋体"/>
          <w:b/>
          <w:bCs/>
          <w:color w:val="000000"/>
          <w:sz w:val="24"/>
          <w:shd w:val="clear" w:color="auto" w:fill="FFFFFF"/>
        </w:rPr>
      </w:pPr>
      <w:r>
        <w:rPr>
          <w:rFonts w:ascii="宋体" w:hAnsi="宋体" w:eastAsia="宋体" w:cs="宋体"/>
          <w:bCs/>
          <w:color w:val="000000"/>
          <w:sz w:val="24"/>
          <w:shd w:val="clear" w:color="auto" w:fill="FFFFFF"/>
        </w:rPr>
        <w:t>四、失业、通货膨胀理论</w:t>
      </w:r>
    </w:p>
    <w:p w14:paraId="1174AA2E">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失业理论</w:t>
      </w:r>
    </w:p>
    <w:p w14:paraId="43B173E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失业的分类                       自然失业率和自然就业率  </w:t>
      </w:r>
    </w:p>
    <w:p w14:paraId="09B7A8C1">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失业的影响                       奥肯定律</w:t>
      </w:r>
    </w:p>
    <w:p w14:paraId="65D1AD0F">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通货膨胀理论</w:t>
      </w:r>
    </w:p>
    <w:p w14:paraId="37E8F416">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通货膨胀的含义与分类             通货膨胀对经济的影响  </w:t>
      </w:r>
    </w:p>
    <w:p w14:paraId="7EE8CF7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通货膨胀的原因                   需求拉动的通货膨胀理论    </w:t>
      </w:r>
    </w:p>
    <w:p w14:paraId="446B585A">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供给推动的通货膨胀理论           其他通货膨胀理论</w:t>
      </w:r>
    </w:p>
    <w:p w14:paraId="65294BFC">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治理通货膨胀的对策</w:t>
      </w:r>
    </w:p>
    <w:p w14:paraId="7C54F3D6">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菲利普斯曲线</w:t>
      </w:r>
    </w:p>
    <w:p w14:paraId="621B4B28">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菲利普斯曲线的提出               菲利普斯曲线的政策含义</w:t>
      </w:r>
    </w:p>
    <w:p w14:paraId="289E211A">
      <w:pPr>
        <w:spacing w:line="560" w:lineRule="exact"/>
        <w:jc w:val="both"/>
        <w:rPr>
          <w:rFonts w:hint="eastAsia" w:ascii="黑体" w:hAnsi="黑体" w:eastAsia="黑体" w:cs="黑体"/>
          <w:b/>
          <w:sz w:val="32"/>
          <w:szCs w:val="32"/>
        </w:rPr>
      </w:pPr>
    </w:p>
    <w:p w14:paraId="2E81472F">
      <w:pPr>
        <w:spacing w:line="560" w:lineRule="exact"/>
        <w:jc w:val="both"/>
        <w:rPr>
          <w:rFonts w:hint="eastAsia" w:ascii="黑体" w:hAnsi="黑体" w:eastAsia="黑体" w:cs="黑体"/>
          <w:b/>
          <w:sz w:val="32"/>
          <w:szCs w:val="32"/>
        </w:rPr>
      </w:pPr>
    </w:p>
    <w:p w14:paraId="2BA66CF7">
      <w:pPr>
        <w:spacing w:line="560" w:lineRule="exact"/>
        <w:jc w:val="both"/>
        <w:rPr>
          <w:rFonts w:hint="eastAsia" w:ascii="黑体" w:hAnsi="黑体" w:eastAsia="黑体" w:cs="黑体"/>
          <w:b/>
          <w:sz w:val="32"/>
          <w:szCs w:val="32"/>
        </w:rPr>
      </w:pPr>
    </w:p>
    <w:p w14:paraId="74954BA0">
      <w:pPr>
        <w:spacing w:line="560" w:lineRule="exact"/>
        <w:jc w:val="both"/>
        <w:rPr>
          <w:rFonts w:hint="eastAsia" w:ascii="黑体" w:hAnsi="黑体" w:eastAsia="黑体" w:cs="黑体"/>
          <w:b/>
          <w:sz w:val="32"/>
          <w:szCs w:val="32"/>
        </w:rPr>
      </w:pPr>
    </w:p>
    <w:p w14:paraId="255670FB">
      <w:pPr>
        <w:spacing w:line="560" w:lineRule="exact"/>
        <w:jc w:val="both"/>
        <w:rPr>
          <w:rFonts w:hint="eastAsia" w:ascii="黑体" w:hAnsi="黑体" w:eastAsia="黑体" w:cs="黑体"/>
          <w:b/>
          <w:sz w:val="32"/>
          <w:szCs w:val="32"/>
        </w:rPr>
      </w:pPr>
    </w:p>
    <w:p w14:paraId="1D97CDAE">
      <w:pPr>
        <w:spacing w:line="560" w:lineRule="exact"/>
        <w:jc w:val="center"/>
        <w:rPr>
          <w:rFonts w:hint="eastAsia" w:ascii="黑体" w:hAnsi="黑体" w:eastAsia="黑体" w:cs="黑体"/>
          <w:b/>
          <w:sz w:val="32"/>
          <w:szCs w:val="32"/>
        </w:rPr>
      </w:pPr>
      <w:r>
        <w:rPr>
          <w:rFonts w:hint="eastAsia" w:ascii="黑体" w:hAnsi="黑体" w:eastAsia="黑体" w:cs="黑体"/>
          <w:b/>
          <w:sz w:val="32"/>
          <w:szCs w:val="32"/>
        </w:rPr>
        <w:t>复试笔试：理论经济综合</w:t>
      </w:r>
    </w:p>
    <w:p w14:paraId="39BB7E6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一、简答题  （6题，每题10分，共60分）</w:t>
      </w:r>
    </w:p>
    <w:p w14:paraId="779B307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二、综合分析题（2题，每题20分，共40分）</w:t>
      </w:r>
    </w:p>
    <w:p w14:paraId="4A6D6E7B">
      <w:pPr>
        <w:spacing w:line="560" w:lineRule="exact"/>
        <w:ind w:firstLine="643" w:firstLineChars="200"/>
        <w:jc w:val="center"/>
        <w:rPr>
          <w:rFonts w:hint="eastAsia" w:ascii="黑体" w:hAnsi="黑体" w:eastAsia="黑体" w:cs="黑体"/>
          <w:b/>
          <w:sz w:val="32"/>
          <w:szCs w:val="32"/>
        </w:rPr>
      </w:pPr>
    </w:p>
    <w:p w14:paraId="3CD7CDE8">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参考书目：</w:t>
      </w:r>
    </w:p>
    <w:p w14:paraId="465A9989">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宋体" w:hAnsi="宋体" w:eastAsia="宋体" w:cs="宋体"/>
          <w:bCs/>
          <w:sz w:val="24"/>
          <w:szCs w:val="24"/>
        </w:rPr>
      </w:pPr>
      <w:r>
        <w:rPr>
          <w:rFonts w:hint="eastAsia" w:ascii="宋体" w:hAnsi="宋体" w:eastAsia="宋体" w:cs="宋体"/>
          <w:bCs/>
          <w:sz w:val="24"/>
          <w:szCs w:val="24"/>
        </w:rPr>
        <w:t>南开大学编写组.《中国特色社会主义政治经济学》.高等教育出版社，2026年.</w:t>
      </w:r>
    </w:p>
    <w:p w14:paraId="64B3223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Cs/>
          <w:sz w:val="24"/>
          <w:szCs w:val="24"/>
        </w:rPr>
      </w:pPr>
      <w:r>
        <w:rPr>
          <w:rFonts w:hint="eastAsia" w:ascii="宋体" w:hAnsi="宋体" w:eastAsia="宋体" w:cs="宋体"/>
          <w:bCs/>
          <w:sz w:val="24"/>
          <w:szCs w:val="24"/>
        </w:rPr>
        <w:t>[2]西方经济学编写组.《西方经济学（第二版）上册、下册》.高等教育出版社，2026年.</w:t>
      </w:r>
    </w:p>
    <w:p w14:paraId="616F35E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Cs/>
          <w:sz w:val="24"/>
          <w:szCs w:val="24"/>
        </w:rPr>
      </w:pPr>
      <w:r>
        <w:rPr>
          <w:rFonts w:hint="eastAsia" w:ascii="宋体" w:hAnsi="宋体" w:eastAsia="宋体" w:cs="宋体"/>
          <w:bCs/>
          <w:sz w:val="24"/>
          <w:szCs w:val="24"/>
        </w:rPr>
        <w:t>[3]世界经济概论编写组.《世界经济概论（第二版）》.高等教育出版社，</w:t>
      </w:r>
    </w:p>
    <w:p w14:paraId="7185D01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Cs/>
          <w:sz w:val="24"/>
          <w:szCs w:val="24"/>
        </w:rPr>
      </w:pPr>
      <w:r>
        <w:rPr>
          <w:rFonts w:hint="eastAsia" w:ascii="宋体" w:hAnsi="宋体" w:eastAsia="宋体" w:cs="宋体"/>
          <w:bCs/>
          <w:sz w:val="24"/>
          <w:szCs w:val="24"/>
        </w:rPr>
        <w:t>2026年.</w:t>
      </w:r>
    </w:p>
    <w:p w14:paraId="7590410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Cs/>
          <w:sz w:val="32"/>
          <w:szCs w:val="32"/>
        </w:rPr>
      </w:pPr>
      <w:r>
        <w:rPr>
          <w:rFonts w:hint="eastAsia" w:ascii="宋体" w:hAnsi="宋体" w:eastAsia="宋体" w:cs="宋体"/>
          <w:bCs/>
          <w:sz w:val="24"/>
          <w:szCs w:val="24"/>
        </w:rPr>
        <w:t>[4]人口、资源与环境经济学编写组.《人口、资源与环境经济学》.高等教育出版社，2025年.</w:t>
      </w:r>
    </w:p>
    <w:p w14:paraId="6BA8BFFE">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考试大纲：</w:t>
      </w:r>
    </w:p>
    <w:p w14:paraId="3B70BB6C"/>
    <w:p w14:paraId="377C823E"/>
    <w:p w14:paraId="53C47A75">
      <w:pPr>
        <w:adjustRightInd w:val="0"/>
        <w:snapToGrid w:val="0"/>
        <w:rPr>
          <w:rFonts w:hint="eastAsia" w:ascii="宋体" w:hAnsi="宋体" w:eastAsia="宋体" w:cs="宋体"/>
          <w:b/>
          <w:sz w:val="24"/>
          <w:szCs w:val="24"/>
        </w:rPr>
      </w:pPr>
      <w:r>
        <w:rPr>
          <w:rFonts w:hint="eastAsia" w:ascii="宋体" w:hAnsi="宋体" w:eastAsia="宋体" w:cs="宋体"/>
          <w:b/>
          <w:sz w:val="24"/>
          <w:szCs w:val="24"/>
        </w:rPr>
        <w:t>理论经济综合考试大纲概述：</w:t>
      </w:r>
    </w:p>
    <w:p w14:paraId="339ACA39">
      <w:pPr>
        <w:adjustRightInd w:val="0"/>
        <w:snapToGrid w:val="0"/>
        <w:ind w:firstLine="480" w:firstLineChars="200"/>
        <w:rPr>
          <w:rFonts w:hint="eastAsia" w:ascii="宋体" w:hAnsi="宋体" w:eastAsia="宋体" w:cs="宋体"/>
          <w:bCs/>
          <w:sz w:val="24"/>
          <w:szCs w:val="24"/>
        </w:rPr>
      </w:pPr>
      <w:r>
        <w:rPr>
          <w:rFonts w:hint="eastAsia" w:ascii="宋体" w:hAnsi="宋体" w:eastAsia="宋体" w:cs="宋体"/>
          <w:bCs/>
          <w:sz w:val="24"/>
          <w:szCs w:val="24"/>
        </w:rPr>
        <w:t>了解理论经济学的学科关联，测试学生对理论经济学的基本原理、基本工具和方法的掌握程度。内容主要包括政治经济学基本原理、西方经济学原理、世界经济原理和人口、资源与环境经济学原理等。通过以上基本内容的学习，了解学生是否具有初步应用经济学基本原理和基本方法分析有关问题的能力。</w:t>
      </w:r>
    </w:p>
    <w:p w14:paraId="544CBFE0">
      <w:pPr>
        <w:adjustRightInd w:val="0"/>
        <w:snapToGrid w:val="0"/>
        <w:rPr>
          <w:rFonts w:hint="eastAsia" w:ascii="宋体" w:hAnsi="宋体" w:eastAsia="宋体" w:cs="宋体"/>
          <w:bCs/>
          <w:sz w:val="24"/>
          <w:szCs w:val="24"/>
        </w:rPr>
      </w:pPr>
    </w:p>
    <w:p w14:paraId="1F69E60B">
      <w:pPr>
        <w:adjustRightInd w:val="0"/>
        <w:snapToGrid w:val="0"/>
        <w:rPr>
          <w:rFonts w:hint="eastAsia" w:ascii="宋体" w:hAnsi="宋体" w:eastAsia="宋体" w:cs="宋体"/>
          <w:b/>
          <w:sz w:val="24"/>
          <w:szCs w:val="24"/>
        </w:rPr>
      </w:pPr>
      <w:r>
        <w:rPr>
          <w:rFonts w:hint="eastAsia" w:ascii="宋体" w:hAnsi="宋体" w:eastAsia="宋体" w:cs="宋体"/>
          <w:b/>
          <w:sz w:val="24"/>
          <w:szCs w:val="24"/>
        </w:rPr>
        <w:t>第一部分 政治经济学基本原理</w:t>
      </w:r>
    </w:p>
    <w:p w14:paraId="3E178EE8">
      <w:pPr>
        <w:pStyle w:val="4"/>
        <w:rPr>
          <w:rFonts w:hint="eastAsia" w:ascii="宋体" w:hAnsi="宋体" w:eastAsia="宋体" w:cs="宋体"/>
          <w:sz w:val="24"/>
          <w:szCs w:val="24"/>
        </w:rPr>
      </w:pPr>
      <w:r>
        <w:rPr>
          <w:rFonts w:hint="eastAsia" w:ascii="宋体" w:hAnsi="宋体" w:eastAsia="宋体" w:cs="宋体"/>
          <w:bCs w:val="0"/>
          <w:sz w:val="24"/>
          <w:szCs w:val="24"/>
        </w:rPr>
        <w:t>1.</w:t>
      </w:r>
      <w:r>
        <w:rPr>
          <w:rFonts w:hint="eastAsia" w:ascii="宋体" w:hAnsi="宋体" w:eastAsia="宋体" w:cs="宋体"/>
          <w:sz w:val="24"/>
          <w:szCs w:val="24"/>
        </w:rPr>
        <w:t>商品、货币、资本、剩余价值生产理论</w:t>
      </w:r>
    </w:p>
    <w:p w14:paraId="28D22C1B">
      <w:pPr>
        <w:pStyle w:val="4"/>
        <w:rPr>
          <w:rFonts w:hint="eastAsia" w:ascii="宋体" w:hAnsi="宋体" w:eastAsia="宋体" w:cs="宋体"/>
          <w:sz w:val="24"/>
          <w:szCs w:val="24"/>
        </w:rPr>
      </w:pPr>
      <w:r>
        <w:rPr>
          <w:rFonts w:hint="eastAsia" w:ascii="宋体" w:hAnsi="宋体" w:eastAsia="宋体" w:cs="宋体"/>
          <w:sz w:val="24"/>
          <w:szCs w:val="24"/>
        </w:rPr>
        <w:t>2.分工、交换、价值规律作用和市场竞争机制理论</w:t>
      </w:r>
    </w:p>
    <w:p w14:paraId="21F2C8C6">
      <w:pPr>
        <w:pStyle w:val="4"/>
        <w:rPr>
          <w:rFonts w:hint="eastAsia" w:ascii="宋体" w:hAnsi="宋体" w:eastAsia="宋体" w:cs="宋体"/>
          <w:sz w:val="24"/>
          <w:szCs w:val="24"/>
        </w:rPr>
      </w:pPr>
      <w:r>
        <w:rPr>
          <w:rFonts w:hint="eastAsia" w:ascii="宋体" w:hAnsi="宋体" w:eastAsia="宋体" w:cs="宋体"/>
          <w:sz w:val="24"/>
          <w:szCs w:val="24"/>
        </w:rPr>
        <w:t>3.资本循环周转与再生产理论</w:t>
      </w:r>
    </w:p>
    <w:p w14:paraId="7A0D19E9">
      <w:pPr>
        <w:pStyle w:val="4"/>
        <w:rPr>
          <w:rFonts w:hint="eastAsia" w:ascii="宋体" w:hAnsi="宋体" w:eastAsia="宋体" w:cs="宋体"/>
          <w:sz w:val="24"/>
          <w:szCs w:val="24"/>
        </w:rPr>
      </w:pPr>
      <w:r>
        <w:rPr>
          <w:rFonts w:hint="eastAsia" w:ascii="宋体" w:hAnsi="宋体" w:eastAsia="宋体" w:cs="宋体"/>
          <w:sz w:val="24"/>
          <w:szCs w:val="24"/>
        </w:rPr>
        <w:t>4.资本主义经济危机理论</w:t>
      </w:r>
    </w:p>
    <w:p w14:paraId="3CAAFC87">
      <w:pPr>
        <w:pStyle w:val="4"/>
        <w:rPr>
          <w:rFonts w:hint="eastAsia" w:ascii="宋体" w:hAnsi="宋体" w:eastAsia="宋体" w:cs="宋体"/>
          <w:sz w:val="24"/>
          <w:szCs w:val="24"/>
        </w:rPr>
      </w:pPr>
      <w:r>
        <w:rPr>
          <w:rFonts w:hint="eastAsia" w:ascii="宋体" w:hAnsi="宋体" w:eastAsia="宋体" w:cs="宋体"/>
          <w:bCs w:val="0"/>
          <w:sz w:val="24"/>
          <w:szCs w:val="24"/>
        </w:rPr>
        <w:t>5.</w:t>
      </w:r>
      <w:r>
        <w:rPr>
          <w:rFonts w:hint="eastAsia" w:ascii="宋体" w:hAnsi="宋体" w:eastAsia="宋体" w:cs="宋体"/>
          <w:sz w:val="24"/>
          <w:szCs w:val="24"/>
        </w:rPr>
        <w:t>社会主义基本经济制度</w:t>
      </w:r>
    </w:p>
    <w:p w14:paraId="13CC3324">
      <w:pPr>
        <w:pStyle w:val="4"/>
        <w:rPr>
          <w:rFonts w:hint="eastAsia" w:ascii="宋体" w:hAnsi="宋体" w:eastAsia="宋体" w:cs="宋体"/>
          <w:sz w:val="24"/>
          <w:szCs w:val="24"/>
        </w:rPr>
      </w:pPr>
      <w:r>
        <w:rPr>
          <w:rFonts w:hint="eastAsia" w:ascii="宋体" w:hAnsi="宋体" w:eastAsia="宋体" w:cs="宋体"/>
          <w:sz w:val="24"/>
          <w:szCs w:val="24"/>
        </w:rPr>
        <w:t>6.社会主义经济体制改革</w:t>
      </w:r>
    </w:p>
    <w:p w14:paraId="4895EC6D">
      <w:pPr>
        <w:pStyle w:val="4"/>
        <w:rPr>
          <w:rFonts w:hint="eastAsia" w:ascii="宋体" w:hAnsi="宋体" w:eastAsia="宋体" w:cs="宋体"/>
          <w:sz w:val="24"/>
          <w:szCs w:val="24"/>
        </w:rPr>
      </w:pPr>
      <w:r>
        <w:rPr>
          <w:rFonts w:hint="eastAsia" w:ascii="宋体" w:hAnsi="宋体" w:eastAsia="宋体" w:cs="宋体"/>
          <w:sz w:val="24"/>
          <w:szCs w:val="24"/>
        </w:rPr>
        <w:t>7.社会主义市场经济的微观主体</w:t>
      </w:r>
    </w:p>
    <w:p w14:paraId="09C98331">
      <w:pPr>
        <w:pStyle w:val="4"/>
        <w:rPr>
          <w:rFonts w:hint="eastAsia" w:ascii="宋体" w:hAnsi="宋体" w:eastAsia="宋体" w:cs="宋体"/>
          <w:sz w:val="24"/>
          <w:szCs w:val="24"/>
        </w:rPr>
      </w:pPr>
      <w:r>
        <w:rPr>
          <w:rFonts w:hint="eastAsia" w:ascii="宋体" w:hAnsi="宋体" w:eastAsia="宋体" w:cs="宋体"/>
          <w:sz w:val="24"/>
          <w:szCs w:val="24"/>
        </w:rPr>
        <w:t>8.新现代化经济体系</w:t>
      </w:r>
    </w:p>
    <w:p w14:paraId="71663CEE">
      <w:pPr>
        <w:pStyle w:val="4"/>
        <w:rPr>
          <w:rFonts w:hint="eastAsia" w:ascii="宋体" w:hAnsi="宋体" w:eastAsia="宋体" w:cs="宋体"/>
          <w:sz w:val="24"/>
          <w:szCs w:val="24"/>
        </w:rPr>
      </w:pPr>
      <w:r>
        <w:rPr>
          <w:rFonts w:hint="eastAsia" w:ascii="宋体" w:hAnsi="宋体" w:eastAsia="宋体" w:cs="宋体"/>
          <w:sz w:val="24"/>
          <w:szCs w:val="24"/>
        </w:rPr>
        <w:t>9.新发展理念与全面建设社会主义现代化国家</w:t>
      </w:r>
    </w:p>
    <w:p w14:paraId="7CDA4F0D">
      <w:pPr>
        <w:pStyle w:val="4"/>
        <w:rPr>
          <w:rFonts w:hint="eastAsia" w:ascii="宋体" w:hAnsi="宋体" w:eastAsia="宋体" w:cs="宋体"/>
          <w:sz w:val="24"/>
          <w:szCs w:val="24"/>
        </w:rPr>
      </w:pPr>
      <w:r>
        <w:rPr>
          <w:rFonts w:hint="eastAsia" w:ascii="宋体" w:hAnsi="宋体" w:eastAsia="宋体" w:cs="宋体"/>
          <w:sz w:val="24"/>
          <w:szCs w:val="24"/>
        </w:rPr>
        <w:t>10.创新发展与经济增长动力转换</w:t>
      </w:r>
    </w:p>
    <w:p w14:paraId="7CE24D5E">
      <w:pPr>
        <w:pStyle w:val="4"/>
        <w:rPr>
          <w:rFonts w:hint="eastAsia" w:ascii="宋体" w:hAnsi="宋体" w:eastAsia="宋体" w:cs="宋体"/>
          <w:sz w:val="24"/>
          <w:szCs w:val="24"/>
        </w:rPr>
      </w:pPr>
      <w:r>
        <w:rPr>
          <w:rFonts w:hint="eastAsia" w:ascii="宋体" w:hAnsi="宋体" w:eastAsia="宋体" w:cs="宋体"/>
          <w:sz w:val="24"/>
          <w:szCs w:val="24"/>
        </w:rPr>
        <w:t>11.共享发展与增进民生福祉</w:t>
      </w:r>
    </w:p>
    <w:p w14:paraId="506D55F7">
      <w:pPr>
        <w:pStyle w:val="4"/>
        <w:rPr>
          <w:rFonts w:hint="eastAsia" w:ascii="宋体" w:hAnsi="宋体" w:eastAsia="宋体" w:cs="宋体"/>
          <w:sz w:val="24"/>
          <w:szCs w:val="24"/>
        </w:rPr>
      </w:pPr>
      <w:r>
        <w:rPr>
          <w:rFonts w:hint="eastAsia" w:ascii="宋体" w:hAnsi="宋体" w:eastAsia="宋体" w:cs="宋体"/>
          <w:sz w:val="24"/>
          <w:szCs w:val="24"/>
        </w:rPr>
        <w:t>12.统筹发展和安全</w:t>
      </w:r>
    </w:p>
    <w:p w14:paraId="7987CD32">
      <w:pPr>
        <w:pStyle w:val="4"/>
        <w:ind w:firstLineChars="0"/>
        <w:rPr>
          <w:rFonts w:hint="eastAsia" w:ascii="宋体" w:hAnsi="宋体" w:eastAsia="宋体" w:cs="宋体"/>
          <w:sz w:val="24"/>
          <w:szCs w:val="24"/>
        </w:rPr>
      </w:pPr>
    </w:p>
    <w:p w14:paraId="5C85255C">
      <w:pPr>
        <w:pStyle w:val="4"/>
        <w:rPr>
          <w:rFonts w:hint="eastAsia" w:ascii="宋体" w:hAnsi="宋体" w:eastAsia="宋体" w:cs="宋体"/>
          <w:sz w:val="24"/>
          <w:szCs w:val="24"/>
        </w:rPr>
      </w:pPr>
    </w:p>
    <w:p w14:paraId="7598B12E">
      <w:pPr>
        <w:pStyle w:val="4"/>
        <w:ind w:firstLine="0" w:firstLineChars="0"/>
        <w:rPr>
          <w:rFonts w:hint="eastAsia" w:ascii="宋体" w:hAnsi="宋体" w:eastAsia="宋体" w:cs="宋体"/>
          <w:b/>
          <w:bCs w:val="0"/>
          <w:sz w:val="24"/>
          <w:szCs w:val="24"/>
        </w:rPr>
      </w:pPr>
    </w:p>
    <w:p w14:paraId="6EA8C930">
      <w:pPr>
        <w:pStyle w:val="4"/>
        <w:ind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t>第二部分  西方经济学原理</w:t>
      </w:r>
    </w:p>
    <w:p w14:paraId="5C3B34FD">
      <w:pPr>
        <w:pStyle w:val="4"/>
        <w:rPr>
          <w:rFonts w:hint="eastAsia" w:ascii="宋体" w:hAnsi="宋体" w:eastAsia="宋体" w:cs="宋体"/>
          <w:sz w:val="24"/>
          <w:szCs w:val="24"/>
        </w:rPr>
      </w:pPr>
      <w:r>
        <w:rPr>
          <w:rFonts w:hint="eastAsia" w:ascii="宋体" w:hAnsi="宋体" w:eastAsia="宋体" w:cs="宋体"/>
          <w:sz w:val="24"/>
          <w:szCs w:val="24"/>
        </w:rPr>
        <w:t>1.供求理论</w:t>
      </w:r>
    </w:p>
    <w:p w14:paraId="666CC62B">
      <w:pPr>
        <w:pStyle w:val="4"/>
        <w:rPr>
          <w:rFonts w:hint="eastAsia" w:ascii="宋体" w:hAnsi="宋体" w:eastAsia="宋体" w:cs="宋体"/>
          <w:sz w:val="24"/>
          <w:szCs w:val="24"/>
        </w:rPr>
      </w:pPr>
      <w:r>
        <w:rPr>
          <w:rFonts w:hint="eastAsia" w:ascii="宋体" w:hAnsi="宋体" w:eastAsia="宋体" w:cs="宋体"/>
          <w:sz w:val="24"/>
          <w:szCs w:val="24"/>
        </w:rPr>
        <w:t>2.消费者行为理论</w:t>
      </w:r>
    </w:p>
    <w:p w14:paraId="75FB4DEA">
      <w:pPr>
        <w:pStyle w:val="4"/>
        <w:rPr>
          <w:rFonts w:hint="eastAsia" w:ascii="宋体" w:hAnsi="宋体" w:eastAsia="宋体" w:cs="宋体"/>
          <w:sz w:val="24"/>
          <w:szCs w:val="24"/>
        </w:rPr>
      </w:pPr>
      <w:r>
        <w:rPr>
          <w:rFonts w:hint="eastAsia" w:ascii="宋体" w:hAnsi="宋体" w:eastAsia="宋体" w:cs="宋体"/>
          <w:sz w:val="24"/>
          <w:szCs w:val="24"/>
        </w:rPr>
        <w:t>3.生产理论</w:t>
      </w:r>
    </w:p>
    <w:p w14:paraId="44E8F23C">
      <w:pPr>
        <w:pStyle w:val="4"/>
        <w:rPr>
          <w:rFonts w:hint="eastAsia" w:ascii="宋体" w:hAnsi="宋体" w:eastAsia="宋体" w:cs="宋体"/>
          <w:sz w:val="24"/>
          <w:szCs w:val="24"/>
        </w:rPr>
      </w:pPr>
      <w:r>
        <w:rPr>
          <w:rFonts w:hint="eastAsia" w:ascii="宋体" w:hAnsi="宋体" w:eastAsia="宋体" w:cs="宋体"/>
          <w:sz w:val="24"/>
          <w:szCs w:val="24"/>
        </w:rPr>
        <w:t>4.成本理论</w:t>
      </w:r>
    </w:p>
    <w:p w14:paraId="37A1B4C0">
      <w:pPr>
        <w:pStyle w:val="4"/>
        <w:rPr>
          <w:rFonts w:hint="eastAsia" w:ascii="宋体" w:hAnsi="宋体" w:eastAsia="宋体" w:cs="宋体"/>
          <w:sz w:val="24"/>
          <w:szCs w:val="24"/>
        </w:rPr>
      </w:pPr>
      <w:r>
        <w:rPr>
          <w:rFonts w:hint="eastAsia" w:ascii="宋体" w:hAnsi="宋体" w:eastAsia="宋体" w:cs="宋体"/>
          <w:sz w:val="24"/>
          <w:szCs w:val="24"/>
        </w:rPr>
        <w:t>5.市场结构理论（包括生产要素市场）</w:t>
      </w:r>
    </w:p>
    <w:p w14:paraId="519FF221">
      <w:pPr>
        <w:pStyle w:val="4"/>
        <w:rPr>
          <w:rFonts w:hint="eastAsia" w:ascii="宋体" w:hAnsi="宋体" w:eastAsia="宋体" w:cs="宋体"/>
          <w:sz w:val="24"/>
          <w:szCs w:val="24"/>
        </w:rPr>
      </w:pPr>
      <w:r>
        <w:rPr>
          <w:rFonts w:hint="eastAsia" w:ascii="宋体" w:hAnsi="宋体" w:eastAsia="宋体" w:cs="宋体"/>
          <w:sz w:val="24"/>
          <w:szCs w:val="24"/>
        </w:rPr>
        <w:t>6.一般均衡理论</w:t>
      </w:r>
    </w:p>
    <w:p w14:paraId="0018C7AA">
      <w:pPr>
        <w:pStyle w:val="4"/>
        <w:rPr>
          <w:rFonts w:hint="eastAsia" w:ascii="宋体" w:hAnsi="宋体" w:eastAsia="宋体" w:cs="宋体"/>
          <w:sz w:val="24"/>
          <w:szCs w:val="24"/>
        </w:rPr>
      </w:pPr>
      <w:r>
        <w:rPr>
          <w:rFonts w:hint="eastAsia" w:ascii="宋体" w:hAnsi="宋体" w:eastAsia="宋体" w:cs="宋体"/>
          <w:sz w:val="24"/>
          <w:szCs w:val="24"/>
        </w:rPr>
        <w:t>7.国民收入核算理论</w:t>
      </w:r>
    </w:p>
    <w:p w14:paraId="51B078E8">
      <w:pPr>
        <w:pStyle w:val="4"/>
        <w:rPr>
          <w:rFonts w:hint="eastAsia" w:ascii="宋体" w:hAnsi="宋体" w:eastAsia="宋体" w:cs="宋体"/>
          <w:sz w:val="24"/>
          <w:szCs w:val="24"/>
        </w:rPr>
      </w:pPr>
      <w:r>
        <w:rPr>
          <w:rFonts w:hint="eastAsia" w:ascii="宋体" w:hAnsi="宋体" w:eastAsia="宋体" w:cs="宋体"/>
          <w:sz w:val="24"/>
          <w:szCs w:val="24"/>
        </w:rPr>
        <w:t>8.短期收入决定理论</w:t>
      </w:r>
    </w:p>
    <w:p w14:paraId="7A1B464E">
      <w:pPr>
        <w:pStyle w:val="4"/>
        <w:rPr>
          <w:rFonts w:hint="eastAsia" w:ascii="宋体" w:hAnsi="宋体" w:eastAsia="宋体" w:cs="宋体"/>
          <w:sz w:val="24"/>
          <w:szCs w:val="24"/>
        </w:rPr>
      </w:pPr>
      <w:r>
        <w:rPr>
          <w:rFonts w:hint="eastAsia" w:ascii="宋体" w:hAnsi="宋体" w:eastAsia="宋体" w:cs="宋体"/>
          <w:sz w:val="24"/>
          <w:szCs w:val="24"/>
        </w:rPr>
        <w:t>9.消费决定理论</w:t>
      </w:r>
    </w:p>
    <w:p w14:paraId="036506A4">
      <w:pPr>
        <w:pStyle w:val="4"/>
        <w:rPr>
          <w:rFonts w:hint="eastAsia" w:ascii="宋体" w:hAnsi="宋体" w:eastAsia="宋体" w:cs="宋体"/>
          <w:sz w:val="24"/>
          <w:szCs w:val="24"/>
        </w:rPr>
      </w:pPr>
      <w:r>
        <w:rPr>
          <w:rFonts w:hint="eastAsia" w:ascii="宋体" w:hAnsi="宋体" w:eastAsia="宋体" w:cs="宋体"/>
          <w:sz w:val="24"/>
          <w:szCs w:val="24"/>
        </w:rPr>
        <w:t>10.投资、政府支出理论</w:t>
      </w:r>
    </w:p>
    <w:p w14:paraId="55BC6F0F">
      <w:pPr>
        <w:pStyle w:val="4"/>
        <w:rPr>
          <w:rFonts w:hint="eastAsia" w:ascii="宋体" w:hAnsi="宋体" w:eastAsia="宋体" w:cs="宋体"/>
          <w:sz w:val="24"/>
          <w:szCs w:val="24"/>
        </w:rPr>
      </w:pPr>
      <w:r>
        <w:rPr>
          <w:rFonts w:hint="eastAsia" w:ascii="宋体" w:hAnsi="宋体" w:eastAsia="宋体" w:cs="宋体"/>
          <w:sz w:val="24"/>
          <w:szCs w:val="24"/>
        </w:rPr>
        <w:t>11.封闭经济中的产品市场与货币市场均衡理论</w:t>
      </w:r>
    </w:p>
    <w:p w14:paraId="38FD761B">
      <w:pPr>
        <w:pStyle w:val="4"/>
        <w:rPr>
          <w:rFonts w:hint="eastAsia" w:ascii="宋体" w:hAnsi="宋体" w:eastAsia="宋体" w:cs="宋体"/>
          <w:sz w:val="24"/>
          <w:szCs w:val="24"/>
        </w:rPr>
      </w:pPr>
      <w:r>
        <w:rPr>
          <w:rFonts w:hint="eastAsia" w:ascii="宋体" w:hAnsi="宋体" w:eastAsia="宋体" w:cs="宋体"/>
          <w:sz w:val="24"/>
          <w:szCs w:val="24"/>
        </w:rPr>
        <w:t>12.财政货币政策工具及其效应评价</w:t>
      </w:r>
    </w:p>
    <w:p w14:paraId="6EA8B39C">
      <w:pPr>
        <w:pStyle w:val="4"/>
        <w:rPr>
          <w:rFonts w:hint="eastAsia" w:ascii="宋体" w:hAnsi="宋体" w:eastAsia="宋体" w:cs="宋体"/>
          <w:sz w:val="24"/>
          <w:szCs w:val="24"/>
        </w:rPr>
      </w:pPr>
      <w:r>
        <w:rPr>
          <w:rFonts w:hint="eastAsia" w:ascii="宋体" w:hAnsi="宋体" w:eastAsia="宋体" w:cs="宋体"/>
          <w:sz w:val="24"/>
          <w:szCs w:val="24"/>
        </w:rPr>
        <w:t>13.赤字、失业与通货膨胀</w:t>
      </w:r>
    </w:p>
    <w:p w14:paraId="58FF64A7">
      <w:pPr>
        <w:pStyle w:val="4"/>
        <w:rPr>
          <w:rFonts w:hint="eastAsia" w:ascii="宋体" w:hAnsi="宋体" w:eastAsia="宋体" w:cs="宋体"/>
          <w:sz w:val="24"/>
          <w:szCs w:val="24"/>
        </w:rPr>
      </w:pPr>
    </w:p>
    <w:p w14:paraId="58C5339B">
      <w:pPr>
        <w:pStyle w:val="4"/>
        <w:ind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t xml:space="preserve">第三部分  </w:t>
      </w:r>
      <w:bookmarkStart w:id="0" w:name="_Hlk514772691"/>
      <w:r>
        <w:rPr>
          <w:rFonts w:hint="eastAsia" w:ascii="宋体" w:hAnsi="宋体" w:eastAsia="宋体" w:cs="宋体"/>
          <w:b/>
          <w:bCs w:val="0"/>
          <w:sz w:val="24"/>
          <w:szCs w:val="24"/>
        </w:rPr>
        <w:t>世界经济原理</w:t>
      </w:r>
      <w:bookmarkEnd w:id="0"/>
    </w:p>
    <w:p w14:paraId="2059B274">
      <w:pPr>
        <w:pStyle w:val="4"/>
        <w:rPr>
          <w:rFonts w:hint="eastAsia" w:ascii="宋体" w:hAnsi="宋体" w:eastAsia="宋体" w:cs="宋体"/>
          <w:sz w:val="24"/>
          <w:szCs w:val="24"/>
        </w:rPr>
      </w:pPr>
      <w:r>
        <w:rPr>
          <w:rFonts w:hint="eastAsia" w:ascii="宋体" w:hAnsi="宋体" w:eastAsia="宋体" w:cs="宋体"/>
          <w:sz w:val="24"/>
          <w:szCs w:val="24"/>
        </w:rPr>
        <w:t>1.国际分工</w:t>
      </w:r>
    </w:p>
    <w:p w14:paraId="2C1FCA42">
      <w:pPr>
        <w:pStyle w:val="4"/>
        <w:rPr>
          <w:rFonts w:hint="eastAsia" w:ascii="宋体" w:hAnsi="宋体" w:eastAsia="宋体" w:cs="宋体"/>
          <w:sz w:val="24"/>
          <w:szCs w:val="24"/>
        </w:rPr>
      </w:pPr>
      <w:r>
        <w:rPr>
          <w:rFonts w:hint="eastAsia" w:ascii="宋体" w:hAnsi="宋体" w:eastAsia="宋体" w:cs="宋体"/>
          <w:sz w:val="24"/>
          <w:szCs w:val="24"/>
        </w:rPr>
        <w:t>2.世界市场</w:t>
      </w:r>
    </w:p>
    <w:p w14:paraId="5A9F0FB4">
      <w:pPr>
        <w:pStyle w:val="4"/>
        <w:rPr>
          <w:rFonts w:hint="eastAsia" w:ascii="宋体" w:hAnsi="宋体" w:eastAsia="宋体" w:cs="宋体"/>
          <w:sz w:val="24"/>
          <w:szCs w:val="24"/>
        </w:rPr>
      </w:pPr>
      <w:r>
        <w:rPr>
          <w:rFonts w:hint="eastAsia" w:ascii="宋体" w:hAnsi="宋体" w:eastAsia="宋体" w:cs="宋体"/>
          <w:sz w:val="24"/>
          <w:szCs w:val="24"/>
        </w:rPr>
        <w:t>3.世界经济格局</w:t>
      </w:r>
    </w:p>
    <w:p w14:paraId="232A6268">
      <w:pPr>
        <w:pStyle w:val="4"/>
        <w:rPr>
          <w:rFonts w:hint="eastAsia" w:ascii="宋体" w:hAnsi="宋体" w:eastAsia="宋体" w:cs="宋体"/>
          <w:sz w:val="24"/>
          <w:szCs w:val="24"/>
        </w:rPr>
      </w:pPr>
      <w:r>
        <w:rPr>
          <w:rFonts w:hint="eastAsia" w:ascii="宋体" w:hAnsi="宋体" w:eastAsia="宋体" w:cs="宋体"/>
          <w:sz w:val="24"/>
          <w:szCs w:val="24"/>
        </w:rPr>
        <w:t>4.世界经济危机</w:t>
      </w:r>
    </w:p>
    <w:p w14:paraId="2C0DE67B">
      <w:pPr>
        <w:pStyle w:val="4"/>
        <w:rPr>
          <w:rFonts w:hint="eastAsia" w:ascii="宋体" w:hAnsi="宋体" w:eastAsia="宋体" w:cs="宋体"/>
          <w:sz w:val="24"/>
          <w:szCs w:val="24"/>
        </w:rPr>
      </w:pPr>
      <w:r>
        <w:rPr>
          <w:rFonts w:hint="eastAsia" w:ascii="宋体" w:hAnsi="宋体" w:eastAsia="宋体" w:cs="宋体"/>
          <w:sz w:val="24"/>
          <w:szCs w:val="24"/>
        </w:rPr>
        <w:t>5.国际经济关系</w:t>
      </w:r>
    </w:p>
    <w:p w14:paraId="2C4FC717">
      <w:pPr>
        <w:pStyle w:val="4"/>
        <w:rPr>
          <w:rFonts w:hint="eastAsia" w:ascii="宋体" w:hAnsi="宋体" w:eastAsia="宋体" w:cs="宋体"/>
          <w:sz w:val="24"/>
          <w:szCs w:val="24"/>
        </w:rPr>
      </w:pPr>
      <w:r>
        <w:rPr>
          <w:rFonts w:hint="eastAsia" w:ascii="宋体" w:hAnsi="宋体" w:eastAsia="宋体" w:cs="宋体"/>
          <w:sz w:val="24"/>
          <w:szCs w:val="24"/>
        </w:rPr>
        <w:t>6.国际经济协调</w:t>
      </w:r>
    </w:p>
    <w:p w14:paraId="0B957EFF">
      <w:pPr>
        <w:pStyle w:val="4"/>
        <w:rPr>
          <w:rFonts w:hint="eastAsia" w:ascii="宋体" w:hAnsi="宋体" w:eastAsia="宋体" w:cs="宋体"/>
          <w:sz w:val="24"/>
          <w:szCs w:val="24"/>
        </w:rPr>
      </w:pPr>
      <w:r>
        <w:rPr>
          <w:rFonts w:hint="eastAsia" w:ascii="宋体" w:hAnsi="宋体" w:eastAsia="宋体" w:cs="宋体"/>
          <w:sz w:val="24"/>
          <w:szCs w:val="24"/>
        </w:rPr>
        <w:t>7.国际经济组织</w:t>
      </w:r>
    </w:p>
    <w:p w14:paraId="0135B49D">
      <w:pPr>
        <w:pStyle w:val="4"/>
        <w:rPr>
          <w:rFonts w:hint="eastAsia" w:ascii="宋体" w:hAnsi="宋体" w:eastAsia="宋体" w:cs="宋体"/>
          <w:sz w:val="24"/>
          <w:szCs w:val="24"/>
        </w:rPr>
      </w:pPr>
      <w:r>
        <w:rPr>
          <w:rFonts w:hint="eastAsia" w:ascii="宋体" w:hAnsi="宋体" w:eastAsia="宋体" w:cs="宋体"/>
          <w:sz w:val="24"/>
          <w:szCs w:val="24"/>
        </w:rPr>
        <w:t>8.经济全球化</w:t>
      </w:r>
    </w:p>
    <w:p w14:paraId="045E9274">
      <w:pPr>
        <w:pStyle w:val="4"/>
        <w:rPr>
          <w:rFonts w:hint="eastAsia" w:ascii="宋体" w:hAnsi="宋体" w:eastAsia="宋体" w:cs="宋体"/>
          <w:sz w:val="24"/>
          <w:szCs w:val="24"/>
        </w:rPr>
      </w:pPr>
      <w:r>
        <w:rPr>
          <w:rFonts w:hint="eastAsia" w:ascii="宋体" w:hAnsi="宋体" w:eastAsia="宋体" w:cs="宋体"/>
          <w:sz w:val="24"/>
          <w:szCs w:val="24"/>
        </w:rPr>
        <w:t>9.区域经济一体化</w:t>
      </w:r>
    </w:p>
    <w:p w14:paraId="3B250E16">
      <w:pPr>
        <w:pStyle w:val="4"/>
        <w:rPr>
          <w:rFonts w:hint="eastAsia" w:ascii="宋体" w:hAnsi="宋体" w:eastAsia="宋体" w:cs="宋体"/>
          <w:sz w:val="24"/>
          <w:szCs w:val="24"/>
        </w:rPr>
      </w:pPr>
      <w:r>
        <w:rPr>
          <w:rFonts w:hint="eastAsia" w:ascii="宋体" w:hAnsi="宋体" w:eastAsia="宋体" w:cs="宋体"/>
          <w:sz w:val="24"/>
          <w:szCs w:val="24"/>
        </w:rPr>
        <w:t>10.国别经济</w:t>
      </w:r>
    </w:p>
    <w:p w14:paraId="179A2BD5">
      <w:pPr>
        <w:pStyle w:val="4"/>
        <w:rPr>
          <w:rFonts w:hint="eastAsia" w:ascii="宋体" w:hAnsi="宋体" w:eastAsia="宋体" w:cs="宋体"/>
          <w:sz w:val="24"/>
          <w:szCs w:val="24"/>
        </w:rPr>
      </w:pPr>
      <w:r>
        <w:rPr>
          <w:rFonts w:hint="eastAsia" w:ascii="宋体" w:hAnsi="宋体" w:eastAsia="宋体" w:cs="宋体"/>
          <w:sz w:val="24"/>
          <w:szCs w:val="24"/>
        </w:rPr>
        <w:t>11.对外开放、国际经济关系与全球治理机制</w:t>
      </w:r>
    </w:p>
    <w:p w14:paraId="109049B2">
      <w:pPr>
        <w:pStyle w:val="4"/>
        <w:rPr>
          <w:rFonts w:hint="eastAsia" w:ascii="宋体" w:hAnsi="宋体" w:eastAsia="宋体" w:cs="宋体"/>
          <w:sz w:val="24"/>
          <w:szCs w:val="24"/>
        </w:rPr>
      </w:pPr>
    </w:p>
    <w:p w14:paraId="0A67F7CD">
      <w:pPr>
        <w:pStyle w:val="4"/>
        <w:ind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t xml:space="preserve">第四部分  </w:t>
      </w:r>
      <w:bookmarkStart w:id="1" w:name="_Hlk514772708"/>
      <w:r>
        <w:rPr>
          <w:rFonts w:hint="eastAsia" w:ascii="宋体" w:hAnsi="宋体" w:eastAsia="宋体" w:cs="宋体"/>
          <w:b/>
          <w:bCs w:val="0"/>
          <w:sz w:val="24"/>
          <w:szCs w:val="24"/>
        </w:rPr>
        <w:t>人口、资源与环境经济学原理</w:t>
      </w:r>
      <w:bookmarkEnd w:id="1"/>
    </w:p>
    <w:p w14:paraId="519A278C">
      <w:pPr>
        <w:pStyle w:val="4"/>
        <w:rPr>
          <w:rFonts w:hint="eastAsia" w:ascii="宋体" w:hAnsi="宋体" w:eastAsia="宋体" w:cs="宋体"/>
          <w:sz w:val="24"/>
          <w:szCs w:val="24"/>
        </w:rPr>
      </w:pPr>
      <w:r>
        <w:rPr>
          <w:rFonts w:hint="eastAsia" w:ascii="宋体" w:hAnsi="宋体" w:eastAsia="宋体" w:cs="宋体"/>
          <w:sz w:val="24"/>
          <w:szCs w:val="24"/>
        </w:rPr>
        <w:t>1.人口经济学理论发展</w:t>
      </w:r>
    </w:p>
    <w:p w14:paraId="21EC08EB">
      <w:pPr>
        <w:pStyle w:val="4"/>
        <w:rPr>
          <w:rFonts w:hint="eastAsia" w:ascii="宋体" w:hAnsi="宋体" w:eastAsia="宋体" w:cs="宋体"/>
          <w:sz w:val="24"/>
          <w:szCs w:val="24"/>
        </w:rPr>
      </w:pPr>
      <w:r>
        <w:rPr>
          <w:rFonts w:hint="eastAsia" w:ascii="宋体" w:hAnsi="宋体" w:eastAsia="宋体" w:cs="宋体"/>
          <w:sz w:val="24"/>
          <w:szCs w:val="24"/>
        </w:rPr>
        <w:t>2.资源与环境经济学发展</w:t>
      </w:r>
    </w:p>
    <w:p w14:paraId="771ED7CA">
      <w:pPr>
        <w:pStyle w:val="4"/>
        <w:rPr>
          <w:rFonts w:hint="eastAsia" w:ascii="宋体" w:hAnsi="宋体" w:eastAsia="宋体" w:cs="宋体"/>
          <w:sz w:val="24"/>
          <w:szCs w:val="24"/>
        </w:rPr>
      </w:pPr>
      <w:r>
        <w:rPr>
          <w:rFonts w:hint="eastAsia" w:ascii="宋体" w:hAnsi="宋体" w:eastAsia="宋体" w:cs="宋体"/>
          <w:sz w:val="24"/>
          <w:szCs w:val="24"/>
        </w:rPr>
        <w:t>3.生态经济协调发展理论</w:t>
      </w:r>
    </w:p>
    <w:p w14:paraId="754957F7">
      <w:pPr>
        <w:pStyle w:val="4"/>
        <w:rPr>
          <w:rFonts w:hint="eastAsia" w:ascii="宋体" w:hAnsi="宋体" w:eastAsia="宋体" w:cs="宋体"/>
          <w:sz w:val="24"/>
          <w:szCs w:val="24"/>
        </w:rPr>
      </w:pPr>
      <w:r>
        <w:rPr>
          <w:rFonts w:hint="eastAsia" w:ascii="宋体" w:hAnsi="宋体" w:eastAsia="宋体" w:cs="宋体"/>
          <w:sz w:val="24"/>
          <w:szCs w:val="24"/>
        </w:rPr>
        <w:t>4.宏观与微观人口经济理论</w:t>
      </w:r>
    </w:p>
    <w:p w14:paraId="19C09B0A">
      <w:pPr>
        <w:pStyle w:val="4"/>
        <w:rPr>
          <w:rFonts w:hint="eastAsia" w:ascii="宋体" w:hAnsi="宋体" w:eastAsia="宋体" w:cs="宋体"/>
          <w:sz w:val="24"/>
          <w:szCs w:val="24"/>
        </w:rPr>
      </w:pPr>
      <w:r>
        <w:rPr>
          <w:rFonts w:hint="eastAsia" w:ascii="宋体" w:hAnsi="宋体" w:eastAsia="宋体" w:cs="宋体"/>
          <w:sz w:val="24"/>
          <w:szCs w:val="24"/>
        </w:rPr>
        <w:t>5.自然资源系统理论</w:t>
      </w:r>
    </w:p>
    <w:p w14:paraId="0D088F4D">
      <w:pPr>
        <w:pStyle w:val="4"/>
        <w:rPr>
          <w:rFonts w:hint="eastAsia" w:ascii="宋体" w:hAnsi="宋体" w:eastAsia="宋体" w:cs="宋体"/>
          <w:sz w:val="24"/>
          <w:szCs w:val="24"/>
        </w:rPr>
      </w:pPr>
      <w:r>
        <w:rPr>
          <w:rFonts w:hint="eastAsia" w:ascii="宋体" w:hAnsi="宋体" w:eastAsia="宋体" w:cs="宋体"/>
          <w:sz w:val="24"/>
          <w:szCs w:val="24"/>
        </w:rPr>
        <w:t>6.人口与资源环境动态理论</w:t>
      </w:r>
    </w:p>
    <w:p w14:paraId="52D4C11C">
      <w:pPr>
        <w:rPr>
          <w:rFonts w:hint="eastAsia"/>
        </w:rPr>
      </w:pP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0977B9"/>
    <w:multiLevelType w:val="singleLevel"/>
    <w:tmpl w:val="0F0977B9"/>
    <w:lvl w:ilvl="0" w:tentative="0">
      <w:start w:val="1"/>
      <w:numFmt w:val="decimal"/>
      <w:lvlText w:val="[%1]"/>
      <w:lvlJc w:val="left"/>
      <w:pPr>
        <w:tabs>
          <w:tab w:val="left" w:pos="312"/>
        </w:tabs>
      </w:pPr>
    </w:lvl>
  </w:abstractNum>
  <w:abstractNum w:abstractNumId="1">
    <w:nsid w:val="117F67E5"/>
    <w:multiLevelType w:val="multilevel"/>
    <w:tmpl w:val="117F67E5"/>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23594DB9"/>
    <w:multiLevelType w:val="multilevel"/>
    <w:tmpl w:val="23594DB9"/>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00326222"/>
    <w:rsid w:val="00356D2E"/>
    <w:rsid w:val="0037127E"/>
    <w:rsid w:val="00462563"/>
    <w:rsid w:val="004B0A20"/>
    <w:rsid w:val="004E66A7"/>
    <w:rsid w:val="004F7721"/>
    <w:rsid w:val="005B5B6C"/>
    <w:rsid w:val="006E2EAC"/>
    <w:rsid w:val="006F6142"/>
    <w:rsid w:val="00A72C87"/>
    <w:rsid w:val="00BD5BA9"/>
    <w:rsid w:val="00C81241"/>
    <w:rsid w:val="00CA002A"/>
    <w:rsid w:val="05355B4E"/>
    <w:rsid w:val="0DB8645E"/>
    <w:rsid w:val="1CE41EDC"/>
    <w:rsid w:val="1DA653E3"/>
    <w:rsid w:val="1E4914E1"/>
    <w:rsid w:val="222676EA"/>
    <w:rsid w:val="24D665AE"/>
    <w:rsid w:val="2A5E32CD"/>
    <w:rsid w:val="2C334F53"/>
    <w:rsid w:val="33737D89"/>
    <w:rsid w:val="34AB66CA"/>
    <w:rsid w:val="382A2A41"/>
    <w:rsid w:val="40F02470"/>
    <w:rsid w:val="46EE5581"/>
    <w:rsid w:val="47D76015"/>
    <w:rsid w:val="4B117A90"/>
    <w:rsid w:val="4FA673B0"/>
    <w:rsid w:val="54B43966"/>
    <w:rsid w:val="5F61293D"/>
    <w:rsid w:val="630624F4"/>
    <w:rsid w:val="65E26D67"/>
    <w:rsid w:val="6C3F5D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paragraph" w:styleId="4">
    <w:name w:val="Normal (Web)"/>
    <w:basedOn w:val="1"/>
    <w:autoRedefine/>
    <w:qFormat/>
    <w:uiPriority w:val="0"/>
    <w:pPr>
      <w:widowControl/>
      <w:adjustRightInd w:val="0"/>
      <w:snapToGrid w:val="0"/>
      <w:ind w:firstLine="640" w:firstLineChars="200"/>
      <w:jc w:val="left"/>
    </w:pPr>
    <w:rPr>
      <w:rFonts w:ascii="仿宋_GB2312" w:hAnsi="仿宋_GB2312" w:eastAsia="仿宋_GB2312" w:cs="仿宋_GB2312"/>
      <w:bCs/>
      <w:sz w:val="32"/>
      <w:szCs w:val="32"/>
    </w:rPr>
  </w:style>
  <w:style w:type="character" w:customStyle="1" w:styleId="7">
    <w:name w:val="页眉 字符"/>
    <w:basedOn w:val="6"/>
    <w:link w:val="3"/>
    <w:qFormat/>
    <w:uiPriority w:val="0"/>
    <w:rPr>
      <w:kern w:val="2"/>
      <w:sz w:val="18"/>
      <w:szCs w:val="18"/>
    </w:rPr>
  </w:style>
  <w:style w:type="character" w:customStyle="1" w:styleId="8">
    <w:name w:val="页脚 字符"/>
    <w:basedOn w:val="6"/>
    <w:link w:val="2"/>
    <w:qFormat/>
    <w:uiPriority w:val="0"/>
    <w:rPr>
      <w:kern w:val="2"/>
      <w:sz w:val="18"/>
      <w:szCs w:val="18"/>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2325</Words>
  <Characters>2423</Characters>
  <Lines>58</Lines>
  <Paragraphs>41</Paragraphs>
  <TotalTime>2</TotalTime>
  <ScaleCrop>false</ScaleCrop>
  <LinksUpToDate>false</LinksUpToDate>
  <CharactersWithSpaces>3273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cp:lastPrinted>2026-05-22T05:34:00Z</cp:lastPrinted>
  <dcterms:modified xsi:type="dcterms:W3CDTF">2026-09-26T09:27:04Z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3F6D5FA214A04DF3BABD3FAB1B6B057D_11</vt:lpwstr>
  </property>
  <property fmtid="{D5CDD505-2E9C-101B-9397-08002B2CF9AE}" pid="4" name="KSOTemplateDocerSaveRecord">
    <vt:lpwstr>eyJoZGlkIjoiZWI5ZDA3MTQ3OGY1NGEwNWNmYzY4MTYzMGJiNjQzYjUiLCJ1c2VySWQiOiIxNTA2MTk0MzE4In0=</vt:lpwstr>
  </property>
</Properties>
</file>