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left"/>
        <w:textAlignment w:val="auto"/>
        <w:rPr>
          <w:rFonts w:hint="eastAsia" w:ascii="仿宋_GB2312" w:hAnsi="仿宋_GB2312" w:eastAsia="仿宋_GB2312" w:cs="仿宋_GB2312"/>
          <w:bCs/>
          <w:color w:val="FF0000"/>
          <w:sz w:val="28"/>
          <w:szCs w:val="28"/>
          <w:lang w:val="en-US" w:eastAsia="zh-CN"/>
        </w:rPr>
      </w:pPr>
      <w:bookmarkStart w:id="0" w:name="_GoBack"/>
      <w:bookmarkEnd w:id="0"/>
      <w:r>
        <w:rPr>
          <w:rFonts w:hint="eastAsia" w:ascii="仿宋_GB2312" w:hAnsi="仿宋_GB2312" w:eastAsia="仿宋_GB2312" w:cs="仿宋_GB2312"/>
          <w:bCs/>
          <w:color w:val="auto"/>
          <w:sz w:val="28"/>
          <w:szCs w:val="28"/>
          <w:lang w:val="en-US" w:eastAsia="zh-CN"/>
        </w:rPr>
        <w:t xml:space="preserve"> </w:t>
      </w:r>
      <w:r>
        <w:rPr>
          <w:rFonts w:hint="eastAsia" w:ascii="仿宋_GB2312" w:hAnsi="仿宋_GB2312" w:eastAsia="仿宋_GB2312" w:cs="仿宋_GB2312"/>
          <w:bCs/>
          <w:color w:val="FF0000"/>
          <w:sz w:val="28"/>
          <w:szCs w:val="28"/>
          <w:lang w:val="en-US" w:eastAsia="zh-CN"/>
        </w:rPr>
        <w:t xml:space="preserve">                 </w:t>
      </w:r>
    </w:p>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方正小标宋简体" w:hAnsi="方正小标宋简体" w:eastAsia="方正小标宋简体" w:cs="方正小标宋简体"/>
          <w:b/>
          <w:bCs w:val="0"/>
          <w:sz w:val="52"/>
          <w:szCs w:val="52"/>
          <w:lang w:val="en-US" w:eastAsia="zh-CN"/>
        </w:rPr>
      </w:pPr>
    </w:p>
    <w:p w14:paraId="34BDC283">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国家金融学（0202Z1）</w:t>
      </w:r>
    </w:p>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317F7B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初试：《经济学基础》</w:t>
      </w:r>
    </w:p>
    <w:p w14:paraId="5EBE3A7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一、名词解释（6题，每题5分，共30分）</w:t>
      </w:r>
    </w:p>
    <w:p w14:paraId="75542DD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二、简答题（6题，每题10分，共60分）</w:t>
      </w:r>
    </w:p>
    <w:p w14:paraId="1EFA6F0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黑体" w:hAnsi="黑体" w:eastAsia="黑体" w:cs="黑体"/>
          <w:b/>
          <w:bCs w:val="0"/>
          <w:sz w:val="32"/>
          <w:szCs w:val="32"/>
          <w:lang w:val="en-US" w:eastAsia="zh-CN"/>
        </w:rPr>
      </w:pPr>
      <w:r>
        <w:rPr>
          <w:rFonts w:hint="eastAsia" w:ascii="仿宋_GB2312" w:hAnsi="仿宋_GB2312" w:eastAsia="仿宋_GB2312" w:cs="仿宋_GB2312"/>
          <w:bCs/>
          <w:sz w:val="32"/>
          <w:szCs w:val="32"/>
          <w:lang w:val="en-US" w:eastAsia="zh-CN"/>
        </w:rPr>
        <w:t>三、论述题（2题，每题30分，共60分）</w:t>
      </w:r>
    </w:p>
    <w:p w14:paraId="213CCE9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4EFA78A7">
      <w:pPr>
        <w:keepNext w:val="0"/>
        <w:keepLines w:val="0"/>
        <w:pageBreakBefore w:val="0"/>
        <w:widowControl w:val="0"/>
        <w:kinsoku/>
        <w:wordWrap/>
        <w:overflowPunct/>
        <w:topLinePunct w:val="0"/>
        <w:autoSpaceDE/>
        <w:autoSpaceDN/>
        <w:bidi w:val="0"/>
        <w:adjustRightInd/>
        <w:snapToGrid/>
        <w:spacing w:beforeLines="0" w:afterLines="0" w:line="560" w:lineRule="exact"/>
        <w:ind w:firstLine="480" w:firstLineChars="200"/>
        <w:jc w:val="both"/>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高鸿业：《西方经济学(宏/微观)》第8版，中国人民大学出版社2021年。</w:t>
      </w:r>
    </w:p>
    <w:p w14:paraId="177CCB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1BFB1577">
      <w:pPr>
        <w:keepNext w:val="0"/>
        <w:keepLines w:val="0"/>
        <w:pageBreakBefore w:val="0"/>
        <w:kinsoku/>
        <w:wordWrap/>
        <w:overflowPunct/>
        <w:topLinePunct w:val="0"/>
        <w:autoSpaceDE/>
        <w:bidi w:val="0"/>
        <w:adjustRightInd w:val="0"/>
        <w:snapToGrid w:val="0"/>
        <w:spacing w:line="560" w:lineRule="exact"/>
        <w:textAlignment w:val="auto"/>
        <w:rPr>
          <w:rFonts w:hint="eastAsia" w:asciiTheme="minorEastAsia" w:hAnsiTheme="minorEastAsia" w:eastAsiaTheme="minorEastAsia" w:cstheme="minorEastAsia"/>
          <w:b/>
          <w:color w:val="000000"/>
          <w:kern w:val="0"/>
          <w:sz w:val="24"/>
        </w:rPr>
      </w:pPr>
      <w:r>
        <w:rPr>
          <w:rFonts w:hint="eastAsia" w:asciiTheme="minorEastAsia" w:hAnsiTheme="minorEastAsia" w:eastAsiaTheme="minorEastAsia" w:cstheme="minorEastAsia"/>
          <w:b/>
          <w:color w:val="000000"/>
          <w:kern w:val="0"/>
          <w:sz w:val="24"/>
        </w:rPr>
        <w:t>《经济学基础》考试大纲概述：</w:t>
      </w:r>
    </w:p>
    <w:p w14:paraId="3FD269CA">
      <w:pPr>
        <w:keepNext w:val="0"/>
        <w:keepLines w:val="0"/>
        <w:pageBreakBefore w:val="0"/>
        <w:widowControl/>
        <w:kinsoku/>
        <w:wordWrap/>
        <w:overflowPunct/>
        <w:topLinePunct w:val="0"/>
        <w:autoSpaceDE/>
        <w:bidi w:val="0"/>
        <w:snapToGrid w:val="0"/>
        <w:spacing w:line="560" w:lineRule="exact"/>
        <w:ind w:firstLine="480"/>
        <w:textAlignment w:val="auto"/>
        <w:rPr>
          <w:rFonts w:hint="eastAsia" w:asciiTheme="minorEastAsia" w:hAnsiTheme="minorEastAsia" w:eastAsiaTheme="minorEastAsia" w:cstheme="minorEastAsia"/>
          <w:color w:val="000000"/>
          <w:sz w:val="24"/>
          <w:shd w:val="clear" w:color="auto" w:fill="FFFFFF"/>
        </w:rPr>
      </w:pPr>
      <w:r>
        <w:rPr>
          <w:rFonts w:hint="eastAsia" w:asciiTheme="minorEastAsia" w:hAnsiTheme="minorEastAsia" w:eastAsiaTheme="minorEastAsia" w:cstheme="minorEastAsia"/>
          <w:color w:val="000000"/>
          <w:sz w:val="24"/>
          <w:shd w:val="clear" w:color="auto" w:fill="FFFFFF"/>
        </w:rPr>
        <w:t>内容主要包括价格理论，消费者行为理论（效用理论），生产理论，成本理论，竞争市场理论，国民收入决定理论，产品与货币市场均衡理论，宏观经济政策分析，失业与通货膨胀理论等。测试学生对微观经济学和宏观经济学的基本原理、基本工具和方法的掌握程度，了解其是否具有初步应用这些基本原理和基本方法分析有关问题的能力。</w:t>
      </w:r>
    </w:p>
    <w:p w14:paraId="313DC399">
      <w:pPr>
        <w:keepNext w:val="0"/>
        <w:keepLines w:val="0"/>
        <w:pageBreakBefore w:val="0"/>
        <w:widowControl/>
        <w:kinsoku/>
        <w:wordWrap/>
        <w:overflowPunct/>
        <w:topLinePunct w:val="0"/>
        <w:autoSpaceDE/>
        <w:bidi w:val="0"/>
        <w:snapToGrid w:val="0"/>
        <w:spacing w:line="560" w:lineRule="exact"/>
        <w:textAlignment w:val="auto"/>
        <w:rPr>
          <w:rFonts w:hint="eastAsia" w:asciiTheme="minorEastAsia" w:hAnsiTheme="minorEastAsia" w:eastAsiaTheme="minorEastAsia" w:cstheme="minorEastAsia"/>
          <w:b/>
          <w:bCs/>
          <w:color w:val="000000"/>
          <w:sz w:val="24"/>
          <w:shd w:val="clear" w:color="auto" w:fill="FFFFFF"/>
        </w:rPr>
      </w:pPr>
    </w:p>
    <w:p w14:paraId="344919C4">
      <w:pPr>
        <w:keepNext w:val="0"/>
        <w:keepLines w:val="0"/>
        <w:pageBreakBefore w:val="0"/>
        <w:widowControl/>
        <w:kinsoku/>
        <w:wordWrap/>
        <w:overflowPunct/>
        <w:topLinePunct w:val="0"/>
        <w:autoSpaceDE/>
        <w:bidi w:val="0"/>
        <w:snapToGrid w:val="0"/>
        <w:spacing w:line="560" w:lineRule="exact"/>
        <w:textAlignment w:val="auto"/>
        <w:rPr>
          <w:rFonts w:hint="eastAsia" w:asciiTheme="minorEastAsia" w:hAnsiTheme="minorEastAsia" w:eastAsiaTheme="minorEastAsia" w:cstheme="minorEastAsia"/>
          <w:color w:val="000000"/>
          <w:sz w:val="24"/>
          <w:shd w:val="clear" w:color="auto" w:fill="FFFFFF"/>
        </w:rPr>
      </w:pPr>
      <w:r>
        <w:rPr>
          <w:rFonts w:hint="eastAsia" w:asciiTheme="minorEastAsia" w:hAnsiTheme="minorEastAsia" w:eastAsiaTheme="minorEastAsia" w:cstheme="minorEastAsia"/>
          <w:b/>
          <w:bCs/>
          <w:color w:val="000000"/>
          <w:sz w:val="24"/>
          <w:shd w:val="clear" w:color="auto" w:fill="FFFFFF"/>
        </w:rPr>
        <w:t>第一部分  微观经济理论</w:t>
      </w:r>
    </w:p>
    <w:p w14:paraId="7CBF69E7">
      <w:pPr>
        <w:keepNext w:val="0"/>
        <w:keepLines w:val="0"/>
        <w:pageBreakBefore w:val="0"/>
        <w:widowControl/>
        <w:kinsoku/>
        <w:wordWrap/>
        <w:overflowPunct/>
        <w:topLinePunct w:val="0"/>
        <w:autoSpaceDE/>
        <w:bidi w:val="0"/>
        <w:snapToGrid w:val="0"/>
        <w:spacing w:line="560" w:lineRule="exact"/>
        <w:textAlignment w:val="auto"/>
        <w:rPr>
          <w:rFonts w:hint="eastAsia" w:asciiTheme="minorEastAsia" w:hAnsiTheme="minorEastAsia" w:eastAsiaTheme="minorEastAsia" w:cstheme="minorEastAsia"/>
          <w:color w:val="000000"/>
          <w:sz w:val="24"/>
          <w:shd w:val="clear" w:color="auto" w:fill="FFFFFF"/>
        </w:rPr>
      </w:pPr>
      <w:r>
        <w:rPr>
          <w:rFonts w:hint="eastAsia" w:asciiTheme="minorEastAsia" w:hAnsiTheme="minorEastAsia" w:eastAsiaTheme="minorEastAsia" w:cstheme="minorEastAsia"/>
          <w:bCs/>
          <w:color w:val="000000"/>
          <w:sz w:val="24"/>
          <w:shd w:val="clear" w:color="auto" w:fill="FFFFFF"/>
        </w:rPr>
        <w:t>一、需求、供给与价格理论</w:t>
      </w:r>
    </w:p>
    <w:p w14:paraId="0B029DA5">
      <w:pPr>
        <w:keepNext w:val="0"/>
        <w:keepLines w:val="0"/>
        <w:pageBreakBefore w:val="0"/>
        <w:numPr>
          <w:ilvl w:val="0"/>
          <w:numId w:val="1"/>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pacing w:val="-17"/>
          <w:sz w:val="24"/>
          <w:shd w:val="clear" w:color="FFFFFF"/>
        </w:rPr>
      </w:pPr>
      <w:r>
        <w:rPr>
          <w:rFonts w:hint="eastAsia" w:asciiTheme="minorEastAsia" w:hAnsiTheme="minorEastAsia" w:eastAsiaTheme="minorEastAsia" w:cstheme="minorEastAsia"/>
          <w:color w:val="000000"/>
          <w:spacing w:val="-17"/>
          <w:sz w:val="24"/>
          <w:shd w:val="clear" w:color="FFFFFF"/>
        </w:rPr>
        <w:t>需求理论</w:t>
      </w:r>
    </w:p>
    <w:p w14:paraId="23F08DC1">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pacing w:val="-13"/>
          <w:sz w:val="24"/>
          <w:shd w:val="clear" w:color="FFFFFF"/>
        </w:rPr>
        <w:t xml:space="preserve">     </w:t>
      </w:r>
      <w:r>
        <w:rPr>
          <w:rFonts w:hint="eastAsia" w:asciiTheme="minorEastAsia" w:hAnsiTheme="minorEastAsia" w:eastAsiaTheme="minorEastAsia" w:cstheme="minorEastAsia"/>
          <w:color w:val="000000"/>
          <w:sz w:val="24"/>
          <w:shd w:val="clear" w:color="FFFFFF"/>
        </w:rPr>
        <w:t>需求、需求表、需求曲线与需求规律      影响需求的因素：需求函数</w:t>
      </w:r>
    </w:p>
    <w:p w14:paraId="4E512C3B">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    需求定理                              需求量的变动与需求的变动</w:t>
      </w:r>
    </w:p>
    <w:p w14:paraId="54A4DB1E">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供给理论</w:t>
      </w:r>
    </w:p>
    <w:p w14:paraId="6348D8E4">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pacing w:val="-13"/>
          <w:sz w:val="24"/>
          <w:shd w:val="clear" w:color="FFFFFF"/>
        </w:rPr>
        <w:t xml:space="preserve">    </w:t>
      </w:r>
      <w:r>
        <w:rPr>
          <w:rFonts w:hint="eastAsia" w:asciiTheme="minorEastAsia" w:hAnsiTheme="minorEastAsia" w:eastAsiaTheme="minorEastAsia" w:cstheme="minorEastAsia"/>
          <w:color w:val="000000"/>
          <w:sz w:val="24"/>
          <w:shd w:val="clear" w:color="FFFFFF"/>
        </w:rPr>
        <w:t xml:space="preserve"> 供给、供给表、供给曲线                影响供给的因素：供给函数</w:t>
      </w:r>
    </w:p>
    <w:p w14:paraId="0C4B407F">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    供给定理                              供给量的变动与供给的变动</w:t>
      </w:r>
    </w:p>
    <w:p w14:paraId="0153D8B1">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价格的决定</w:t>
      </w:r>
    </w:p>
    <w:p w14:paraId="71B6E715">
      <w:pPr>
        <w:keepNext w:val="0"/>
        <w:keepLines w:val="0"/>
        <w:pageBreakBefore w:val="0"/>
        <w:shd w:val="clear" w:color="FFFFFF"/>
        <w:kinsoku/>
        <w:wordWrap/>
        <w:overflowPunct/>
        <w:topLinePunct w:val="0"/>
        <w:autoSpaceDE/>
        <w:autoSpaceDN w:val="0"/>
        <w:bidi w:val="0"/>
        <w:spacing w:line="560" w:lineRule="exact"/>
        <w:ind w:firstLine="48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均衡价格含义及形成                    需求与供给变动对均衡的影响</w:t>
      </w:r>
    </w:p>
    <w:p w14:paraId="7031D587">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需求价格弹性</w:t>
      </w:r>
    </w:p>
    <w:p w14:paraId="526054DB">
      <w:pPr>
        <w:keepNext w:val="0"/>
        <w:keepLines w:val="0"/>
        <w:pageBreakBefore w:val="0"/>
        <w:shd w:val="clear" w:color="FFFFFF"/>
        <w:kinsoku/>
        <w:wordWrap/>
        <w:overflowPunct/>
        <w:topLinePunct w:val="0"/>
        <w:autoSpaceDE/>
        <w:autoSpaceDN w:val="0"/>
        <w:bidi w:val="0"/>
        <w:spacing w:line="560" w:lineRule="exact"/>
        <w:ind w:firstLine="48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需求价格弹性的含义与分类              影响需求弹性的因素</w:t>
      </w:r>
    </w:p>
    <w:p w14:paraId="02C6953E">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弹性理论的运用：需求弹性与总收益</w:t>
      </w:r>
    </w:p>
    <w:p w14:paraId="341B2EA9">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bCs/>
          <w:color w:val="000000"/>
          <w:sz w:val="24"/>
          <w:shd w:val="clear" w:color="FFFFFF"/>
        </w:rPr>
        <w:t>二、消费者行为理论（效用理论）</w:t>
      </w:r>
    </w:p>
    <w:p w14:paraId="456761E8">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效用</w:t>
      </w:r>
    </w:p>
    <w:p w14:paraId="745586DD">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    基数效用论与序数效用论     总效用与边际效用      边际效用递减规律</w:t>
      </w:r>
    </w:p>
    <w:p w14:paraId="334EABC6">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序数效用论</w:t>
      </w:r>
    </w:p>
    <w:p w14:paraId="74D28EAC">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    无差异曲线及特征           消费可能线（预算线）   消费者均衡</w:t>
      </w:r>
    </w:p>
    <w:p w14:paraId="6F863383">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消费者行为理论的运用</w:t>
      </w:r>
    </w:p>
    <w:p w14:paraId="6972CE28">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    消费者剩余                    消费者行为与需求定理</w:t>
      </w:r>
    </w:p>
    <w:p w14:paraId="6D131A59">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
          <w:bCs/>
          <w:color w:val="000000"/>
          <w:sz w:val="24"/>
          <w:shd w:val="clear" w:color="FFFFFF"/>
        </w:rPr>
      </w:pPr>
      <w:r>
        <w:rPr>
          <w:rFonts w:hint="eastAsia" w:asciiTheme="minorEastAsia" w:hAnsiTheme="minorEastAsia" w:eastAsiaTheme="minorEastAsia" w:cstheme="minorEastAsia"/>
          <w:bCs/>
          <w:color w:val="000000"/>
          <w:sz w:val="24"/>
          <w:shd w:val="clear" w:color="FFFFFF"/>
        </w:rPr>
        <w:t>三、生产理论</w:t>
      </w:r>
    </w:p>
    <w:p w14:paraId="67D5A1C2">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生产要素与生产函数</w:t>
      </w:r>
    </w:p>
    <w:p w14:paraId="2975EA4F">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边际收益递减规律</w:t>
      </w:r>
    </w:p>
    <w:p w14:paraId="1B1C71E5">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总产量、平均产量、边际产量的关系</w:t>
      </w:r>
    </w:p>
    <w:p w14:paraId="0BB93FA1">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等产量线与等成本线</w:t>
      </w:r>
    </w:p>
    <w:p w14:paraId="5509A391">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规模报酬</w:t>
      </w:r>
    </w:p>
    <w:p w14:paraId="0743942F">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Cs/>
          <w:color w:val="000000"/>
          <w:sz w:val="24"/>
          <w:shd w:val="clear" w:color="FFFFFF"/>
        </w:rPr>
      </w:pPr>
      <w:r>
        <w:rPr>
          <w:rFonts w:hint="eastAsia" w:asciiTheme="minorEastAsia" w:hAnsiTheme="minorEastAsia" w:eastAsiaTheme="minorEastAsia" w:cstheme="minorEastAsia"/>
          <w:bCs/>
          <w:color w:val="000000"/>
          <w:sz w:val="24"/>
          <w:shd w:val="clear" w:color="FFFFFF"/>
        </w:rPr>
        <w:t>四、成本与收益理论</w:t>
      </w:r>
    </w:p>
    <w:p w14:paraId="651FEAD6">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成本</w:t>
      </w:r>
    </w:p>
    <w:p w14:paraId="4073135A">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会计成本与机会成本             机会成本在企业决策中的作用</w:t>
      </w:r>
    </w:p>
    <w:p w14:paraId="5F5E5372">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短期成本</w:t>
      </w:r>
    </w:p>
    <w:p w14:paraId="14FD2FF5">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   短期成本的分类                 各类短期成本的变动规律及其关系</w:t>
      </w:r>
    </w:p>
    <w:p w14:paraId="48B3809A">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长期成本</w:t>
      </w:r>
    </w:p>
    <w:p w14:paraId="29D967AC">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长期总成本                     长期平均成本          长期边际成本</w:t>
      </w:r>
    </w:p>
    <w:p w14:paraId="088611B2">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收益与利润最大化</w:t>
      </w:r>
    </w:p>
    <w:p w14:paraId="7F5FC6BF">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总收益、平均收益与边际收益     利润最大化原则</w:t>
      </w:r>
    </w:p>
    <w:p w14:paraId="6BD6D8AB">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
          <w:bCs/>
          <w:color w:val="000000"/>
          <w:sz w:val="24"/>
          <w:shd w:val="clear" w:color="FFFFFF"/>
        </w:rPr>
      </w:pPr>
      <w:r>
        <w:rPr>
          <w:rFonts w:hint="eastAsia" w:asciiTheme="minorEastAsia" w:hAnsiTheme="minorEastAsia" w:eastAsiaTheme="minorEastAsia" w:cstheme="minorEastAsia"/>
          <w:bCs/>
          <w:color w:val="000000"/>
          <w:sz w:val="24"/>
          <w:shd w:val="clear" w:color="FFFFFF"/>
        </w:rPr>
        <w:t>五、竞争市场理论</w:t>
      </w:r>
    </w:p>
    <w:p w14:paraId="4CC3A7B4">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市场结构</w:t>
      </w:r>
    </w:p>
    <w:p w14:paraId="56D760F2">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   市场结构类型                   市场结构与企业行为的关系</w:t>
      </w:r>
    </w:p>
    <w:p w14:paraId="6AD7782F">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完全竞争市场</w:t>
      </w:r>
    </w:p>
    <w:p w14:paraId="3967888C">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   完全竞争市场含义与特征     完全竞争市场需求曲线、平均收益与边际收益</w:t>
      </w:r>
    </w:p>
    <w:p w14:paraId="07ED9AD7">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   利润最大化的基本原则       完全竞争市场上的短期均衡与长期均衡</w:t>
      </w:r>
    </w:p>
    <w:p w14:paraId="076DC159">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非完全竞争市场</w:t>
      </w:r>
    </w:p>
    <w:p w14:paraId="3BDD4683">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完全垄断、垄断竞争和寡头垄断市场的条件及其特征</w:t>
      </w:r>
    </w:p>
    <w:p w14:paraId="145056F8">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完全垄断厂商的需求曲线、平均收益与边际收益</w:t>
      </w:r>
    </w:p>
    <w:p w14:paraId="4BD706C1">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垄断市场上的短期均衡与长期均衡（了解）</w:t>
      </w:r>
    </w:p>
    <w:p w14:paraId="65CFDC8D">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垄断竞争与完全竞争的比较</w:t>
      </w:r>
    </w:p>
    <w:p w14:paraId="32B0DED8">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   垄断竞争市场上的产品差别竞争    </w:t>
      </w:r>
    </w:p>
    <w:p w14:paraId="5DFC7424">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
          <w:bCs/>
          <w:color w:val="000000"/>
          <w:sz w:val="24"/>
          <w:shd w:val="clear" w:color="FFFFFF"/>
        </w:rPr>
      </w:pPr>
    </w:p>
    <w:p w14:paraId="5866AD79">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b/>
          <w:bCs/>
          <w:color w:val="000000"/>
          <w:sz w:val="24"/>
          <w:shd w:val="clear" w:color="FFFFFF"/>
        </w:rPr>
        <w:t>第二部分  宏观经济理论</w:t>
      </w:r>
    </w:p>
    <w:p w14:paraId="1FBA1DB5">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bCs/>
          <w:color w:val="000000"/>
          <w:sz w:val="24"/>
          <w:shd w:val="clear" w:color="FFFFFF"/>
        </w:rPr>
        <w:t>一、国民收入决定理论</w:t>
      </w:r>
    </w:p>
    <w:p w14:paraId="6EA1BF2D">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国内生产总值</w:t>
      </w:r>
    </w:p>
    <w:p w14:paraId="4A39D5E5">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国内生产总值的含义                       </w:t>
      </w:r>
    </w:p>
    <w:p w14:paraId="12812E8A">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国内生产总值的计算方法</w:t>
      </w:r>
    </w:p>
    <w:p w14:paraId="1627E8CB">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实际国内生产总值与名义国内生产总值      </w:t>
      </w:r>
    </w:p>
    <w:p w14:paraId="0546098A">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国内生产总值与人均国内生产总值</w:t>
      </w:r>
    </w:p>
    <w:p w14:paraId="1107CAE8">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消费函数、储蓄函数</w:t>
      </w:r>
    </w:p>
    <w:p w14:paraId="2304E182">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乘数理论</w:t>
      </w:r>
    </w:p>
    <w:p w14:paraId="6118A177">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其他宏观经济指标（了解）</w:t>
      </w:r>
    </w:p>
    <w:p w14:paraId="3CECBFD9">
      <w:pPr>
        <w:keepNext w:val="0"/>
        <w:keepLines w:val="0"/>
        <w:pageBreakBefore w:val="0"/>
        <w:shd w:val="clear" w:color="FFFFFF"/>
        <w:kinsoku/>
        <w:wordWrap/>
        <w:overflowPunct/>
        <w:topLinePunct w:val="0"/>
        <w:autoSpaceDE/>
        <w:autoSpaceDN w:val="0"/>
        <w:bidi w:val="0"/>
        <w:spacing w:line="560" w:lineRule="exact"/>
        <w:ind w:firstLine="48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物价指数                       失业率</w:t>
      </w:r>
    </w:p>
    <w:p w14:paraId="279414FB">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bCs/>
          <w:color w:val="000000"/>
          <w:sz w:val="24"/>
          <w:shd w:val="clear" w:color="FFFFFF"/>
        </w:rPr>
        <w:t>二、产品市场和货币市场的一般均衡理论</w:t>
      </w:r>
    </w:p>
    <w:p w14:paraId="775253DB">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投资的决定</w:t>
      </w:r>
    </w:p>
    <w:p w14:paraId="263CBCE4">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实际利率与投资                  边际效率</w:t>
      </w:r>
    </w:p>
    <w:p w14:paraId="155806AC">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投资边际效率曲线                预期收益与投资</w:t>
      </w:r>
    </w:p>
    <w:p w14:paraId="45E8EBCE">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商品市场的均衡（IS）曲线</w:t>
      </w:r>
    </w:p>
    <w:p w14:paraId="4797C65C">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货币市场的均衡（LM）曲线</w:t>
      </w:r>
    </w:p>
    <w:p w14:paraId="1B3AE00A">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利率的决定</w:t>
      </w:r>
    </w:p>
    <w:p w14:paraId="00DE200D">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
          <w:bCs/>
          <w:color w:val="000000"/>
          <w:sz w:val="24"/>
          <w:shd w:val="clear" w:color="FFFFFF"/>
        </w:rPr>
      </w:pPr>
      <w:r>
        <w:rPr>
          <w:rFonts w:hint="eastAsia" w:asciiTheme="minorEastAsia" w:hAnsiTheme="minorEastAsia" w:eastAsiaTheme="minorEastAsia" w:cstheme="minorEastAsia"/>
          <w:bCs/>
          <w:color w:val="000000"/>
          <w:sz w:val="24"/>
          <w:shd w:val="clear" w:color="FFFFFF"/>
        </w:rPr>
        <w:t xml:space="preserve">三、宏观经济政策分析 </w:t>
      </w:r>
    </w:p>
    <w:p w14:paraId="5805902C">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财政政策和货币政策的影响</w:t>
      </w:r>
    </w:p>
    <w:p w14:paraId="779DE1B1">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财政政策                         货币政策</w:t>
      </w:r>
    </w:p>
    <w:p w14:paraId="3392C386">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财政政策和货币政策的影响         财政政策和货币政策的混合使用</w:t>
      </w:r>
    </w:p>
    <w:p w14:paraId="397798F7">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经济政策目标</w:t>
      </w:r>
    </w:p>
    <w:p w14:paraId="4CCC035D">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充分就业                         价格稳定 </w:t>
      </w:r>
    </w:p>
    <w:p w14:paraId="77A5FFD1">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经济持续均衡增长                 国际收支平衡。</w:t>
      </w:r>
    </w:p>
    <w:p w14:paraId="3470E6A0">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财政政策</w:t>
      </w:r>
    </w:p>
    <w:p w14:paraId="1D96D239">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财政政策工具                     自动稳定与相机抉择的财政政策</w:t>
      </w:r>
    </w:p>
    <w:p w14:paraId="51026D1D">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功能财政和预算盈余               充分就业预算盈余与财政政策方向</w:t>
      </w:r>
    </w:p>
    <w:p w14:paraId="19353837">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货币政策</w:t>
      </w:r>
    </w:p>
    <w:p w14:paraId="5C42A918">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商业银行和中央银行               存款创造和货币供给</w:t>
      </w:r>
    </w:p>
    <w:p w14:paraId="7154CC78">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债券价格与市场利息率的关系       货币政策及其工具</w:t>
      </w:r>
    </w:p>
    <w:p w14:paraId="531A3915">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
          <w:bCs/>
          <w:color w:val="000000"/>
          <w:sz w:val="24"/>
          <w:shd w:val="clear" w:color="FFFFFF"/>
        </w:rPr>
      </w:pPr>
      <w:r>
        <w:rPr>
          <w:rFonts w:hint="eastAsia" w:asciiTheme="minorEastAsia" w:hAnsiTheme="minorEastAsia" w:eastAsiaTheme="minorEastAsia" w:cstheme="minorEastAsia"/>
          <w:bCs/>
          <w:color w:val="000000"/>
          <w:sz w:val="24"/>
          <w:shd w:val="clear" w:color="FFFFFF"/>
        </w:rPr>
        <w:t>四、失业、通货膨胀理论</w:t>
      </w:r>
    </w:p>
    <w:p w14:paraId="6CAEBA53">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失业理论</w:t>
      </w:r>
    </w:p>
    <w:p w14:paraId="1089ED59">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失业的分类                       自然失业率和自然就业率  </w:t>
      </w:r>
    </w:p>
    <w:p w14:paraId="34E3270D">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失业的影响                       奥肯定律</w:t>
      </w:r>
    </w:p>
    <w:p w14:paraId="79DE75C4">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通货膨胀理论</w:t>
      </w:r>
    </w:p>
    <w:p w14:paraId="34890497">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通货膨胀的含义与分类             通货膨胀对经济的影响  </w:t>
      </w:r>
    </w:p>
    <w:p w14:paraId="6F412B6E">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 xml:space="preserve">通货膨胀的原因                   需求拉动的通货膨胀理论    </w:t>
      </w:r>
    </w:p>
    <w:p w14:paraId="0E1F7053">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供给推动的通货膨胀理论           其他通货膨胀理论</w:t>
      </w:r>
    </w:p>
    <w:p w14:paraId="6A9F63E0">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治理通货膨胀的对策</w:t>
      </w:r>
    </w:p>
    <w:p w14:paraId="21048DF0">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FFFFFF"/>
        </w:rPr>
      </w:pPr>
      <w:r>
        <w:rPr>
          <w:rFonts w:hint="eastAsia" w:asciiTheme="minorEastAsia" w:hAnsiTheme="minorEastAsia" w:eastAsiaTheme="minorEastAsia" w:cstheme="minorEastAsia"/>
          <w:color w:val="000000"/>
          <w:sz w:val="24"/>
          <w:shd w:val="clear" w:color="FFFFFF"/>
        </w:rPr>
        <w:t>菲利普斯曲线</w:t>
      </w:r>
    </w:p>
    <w:p w14:paraId="581E1009">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黑体" w:hAnsi="黑体" w:eastAsia="黑体" w:cs="黑体"/>
          <w:b/>
          <w:bCs w:val="0"/>
          <w:sz w:val="32"/>
          <w:szCs w:val="32"/>
          <w:shd w:val="clear" w:color="FFFFFF"/>
          <w:lang w:val="en-US" w:eastAsia="zh-CN"/>
        </w:rPr>
      </w:pPr>
      <w:r>
        <w:rPr>
          <w:rFonts w:hint="eastAsia" w:asciiTheme="minorEastAsia" w:hAnsiTheme="minorEastAsia" w:eastAsiaTheme="minorEastAsia" w:cstheme="minorEastAsia"/>
          <w:color w:val="000000"/>
          <w:sz w:val="24"/>
          <w:shd w:val="clear" w:color="FFFFFF"/>
        </w:rPr>
        <w:t>菲利普斯曲线的提出               菲利普斯曲线的政策含义</w:t>
      </w:r>
    </w:p>
    <w:p w14:paraId="2A8D711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C0A446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8F8BF0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D97CD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复试笔试：《金融学基础》</w:t>
      </w:r>
    </w:p>
    <w:p w14:paraId="6F4CB26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一、名词解释（6题，每题5分，共30分）</w:t>
      </w:r>
    </w:p>
    <w:p w14:paraId="443762B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二、简答题  （4题，每题10分，共40分）</w:t>
      </w:r>
    </w:p>
    <w:p w14:paraId="4A6D6E7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黑体" w:hAnsi="黑体" w:eastAsia="黑体" w:cs="黑体"/>
          <w:b/>
          <w:bCs w:val="0"/>
          <w:sz w:val="32"/>
          <w:szCs w:val="32"/>
          <w:lang w:val="en-US" w:eastAsia="zh-CN"/>
        </w:rPr>
      </w:pPr>
      <w:r>
        <w:rPr>
          <w:rFonts w:hint="eastAsia" w:ascii="仿宋_GB2312" w:hAnsi="仿宋_GB2312" w:eastAsia="仿宋_GB2312" w:cs="仿宋_GB2312"/>
          <w:bCs/>
          <w:sz w:val="32"/>
          <w:szCs w:val="32"/>
          <w:lang w:val="en-US" w:eastAsia="zh-CN"/>
        </w:rPr>
        <w:t>三、论述题  （1题，每题30分，共30分）</w:t>
      </w:r>
    </w:p>
    <w:p w14:paraId="2691B1D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13FB49B0">
      <w:pPr>
        <w:keepNext w:val="0"/>
        <w:keepLines w:val="0"/>
        <w:pageBreakBefore w:val="0"/>
        <w:widowControl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金融学原理（第六版）</w:t>
      </w:r>
      <w:r>
        <w:rPr>
          <w:rFonts w:hint="eastAsia" w:ascii="宋体" w:hAnsi="宋体" w:eastAsia="宋体" w:cs="宋体"/>
          <w:color w:val="auto"/>
          <w:kern w:val="0"/>
          <w:sz w:val="24"/>
          <w:szCs w:val="24"/>
          <w:shd w:val="clear" w:color="auto" w:fill="FFFFFF"/>
          <w:lang w:bidi="ar"/>
        </w:rPr>
        <w:t>作者</w:t>
      </w:r>
      <w:r>
        <w:rPr>
          <w:rFonts w:hint="eastAsia" w:ascii="宋体" w:hAnsi="宋体" w:eastAsia="宋体" w:cs="宋体"/>
          <w:color w:val="auto"/>
          <w:kern w:val="0"/>
          <w:sz w:val="24"/>
          <w:szCs w:val="24"/>
          <w:shd w:val="clear" w:color="auto" w:fill="FFFFFF"/>
          <w:lang w:eastAsia="zh-CN" w:bidi="ar"/>
        </w:rPr>
        <w:t>：</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"http://search.dangdang.com/?key2=%C5%ED%D0%CB%D4%CF&amp;medium=01&amp;category_path=01.00.00.00.00.00" \t "http://product.dangdang.com/_blank" </w:instrText>
      </w:r>
      <w:r>
        <w:rPr>
          <w:rFonts w:hint="eastAsia" w:ascii="宋体" w:hAnsi="宋体" w:eastAsia="宋体" w:cs="宋体"/>
          <w:color w:val="auto"/>
          <w:sz w:val="24"/>
          <w:szCs w:val="24"/>
        </w:rPr>
        <w:fldChar w:fldCharType="separate"/>
      </w:r>
      <w:r>
        <w:rPr>
          <w:rStyle w:val="5"/>
          <w:rFonts w:hint="eastAsia" w:ascii="宋体" w:hAnsi="宋体" w:eastAsia="宋体" w:cs="宋体"/>
          <w:color w:val="auto"/>
          <w:sz w:val="24"/>
          <w:szCs w:val="24"/>
          <w:u w:val="none"/>
          <w:shd w:val="clear" w:color="auto" w:fill="FFFFFF"/>
        </w:rPr>
        <w:t>彭兴韵</w:t>
      </w:r>
      <w:r>
        <w:rPr>
          <w:rStyle w:val="5"/>
          <w:rFonts w:hint="eastAsia" w:ascii="宋体" w:hAnsi="宋体" w:eastAsia="宋体" w:cs="宋体"/>
          <w:color w:val="auto"/>
          <w:sz w:val="24"/>
          <w:szCs w:val="24"/>
          <w:u w:val="none"/>
          <w:shd w:val="clear" w:color="auto" w:fill="FFFFFF"/>
        </w:rPr>
        <w:fldChar w:fldCharType="end"/>
      </w:r>
      <w:r>
        <w:rPr>
          <w:rFonts w:hint="eastAsia" w:ascii="宋体" w:hAnsi="宋体" w:eastAsia="宋体" w:cs="宋体"/>
          <w:color w:val="auto"/>
          <w:kern w:val="0"/>
          <w:sz w:val="24"/>
          <w:szCs w:val="24"/>
          <w:shd w:val="clear" w:color="auto" w:fill="FFFFFF"/>
          <w:lang w:bidi="ar"/>
        </w:rPr>
        <w:t>，</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"http://search.dangdang.com/?key3=%B8%F1%D6%C2%B3%F6%B0%E6%C9%E7&amp;medium=01&amp;category_path=01.00.00.00.00.00" \t "http://product.dangdang.com/_blank" </w:instrText>
      </w:r>
      <w:r>
        <w:rPr>
          <w:rFonts w:hint="eastAsia" w:ascii="宋体" w:hAnsi="宋体" w:eastAsia="宋体" w:cs="宋体"/>
          <w:color w:val="auto"/>
          <w:sz w:val="24"/>
          <w:szCs w:val="24"/>
        </w:rPr>
        <w:fldChar w:fldCharType="separate"/>
      </w:r>
      <w:r>
        <w:rPr>
          <w:rStyle w:val="5"/>
          <w:rFonts w:hint="eastAsia" w:ascii="宋体" w:hAnsi="宋体" w:eastAsia="宋体" w:cs="宋体"/>
          <w:color w:val="auto"/>
          <w:sz w:val="24"/>
          <w:szCs w:val="24"/>
          <w:u w:val="none"/>
          <w:shd w:val="clear" w:color="auto" w:fill="FFFFFF"/>
        </w:rPr>
        <w:t>格致出版社</w:t>
      </w:r>
      <w:r>
        <w:rPr>
          <w:rStyle w:val="5"/>
          <w:rFonts w:hint="eastAsia" w:ascii="宋体" w:hAnsi="宋体" w:eastAsia="宋体" w:cs="宋体"/>
          <w:color w:val="auto"/>
          <w:sz w:val="24"/>
          <w:szCs w:val="24"/>
          <w:u w:val="none"/>
          <w:shd w:val="clear" w:color="auto" w:fill="FFFFFF"/>
        </w:rPr>
        <w:fldChar w:fldCharType="end"/>
      </w:r>
      <w:r>
        <w:rPr>
          <w:rFonts w:hint="eastAsia" w:ascii="宋体" w:hAnsi="宋体" w:eastAsia="宋体" w:cs="宋体"/>
          <w:color w:val="auto"/>
          <w:kern w:val="0"/>
          <w:sz w:val="24"/>
          <w:szCs w:val="24"/>
          <w:shd w:val="clear" w:color="auto" w:fill="FFFFFF"/>
          <w:lang w:bidi="ar"/>
        </w:rPr>
        <w:t>出版，</w:t>
      </w:r>
      <w:r>
        <w:rPr>
          <w:rFonts w:hint="eastAsia" w:ascii="宋体" w:hAnsi="宋体" w:eastAsia="宋体" w:cs="宋体"/>
          <w:color w:val="auto"/>
          <w:sz w:val="24"/>
          <w:szCs w:val="24"/>
          <w:shd w:val="clear" w:color="auto" w:fill="FFFFFF"/>
        </w:rPr>
        <w:t>出版</w:t>
      </w:r>
      <w:r>
        <w:rPr>
          <w:rFonts w:hint="eastAsia" w:ascii="宋体" w:hAnsi="宋体" w:eastAsia="宋体" w:cs="宋体"/>
          <w:color w:val="auto"/>
          <w:kern w:val="0"/>
          <w:sz w:val="24"/>
          <w:szCs w:val="24"/>
          <w:shd w:val="clear" w:color="auto" w:fill="FFFFFF"/>
          <w:lang w:bidi="ar"/>
        </w:rPr>
        <w:t>时间</w:t>
      </w:r>
      <w:r>
        <w:rPr>
          <w:rFonts w:hint="eastAsia" w:ascii="宋体" w:hAnsi="宋体" w:eastAsia="宋体" w:cs="宋体"/>
          <w:color w:val="auto"/>
          <w:kern w:val="0"/>
          <w:sz w:val="24"/>
          <w:szCs w:val="24"/>
          <w:shd w:val="clear" w:color="auto" w:fill="FFFFFF"/>
          <w:lang w:eastAsia="zh-CN" w:bidi="ar"/>
        </w:rPr>
        <w:t>：</w:t>
      </w:r>
      <w:r>
        <w:rPr>
          <w:rFonts w:hint="eastAsia" w:ascii="宋体" w:hAnsi="宋体" w:eastAsia="宋体" w:cs="宋体"/>
          <w:color w:val="auto"/>
          <w:kern w:val="0"/>
          <w:sz w:val="24"/>
          <w:szCs w:val="24"/>
          <w:shd w:val="clear" w:color="auto" w:fill="FFFFFF"/>
          <w:lang w:bidi="ar"/>
        </w:rPr>
        <w:t>2019年7月。</w:t>
      </w:r>
    </w:p>
    <w:p w14:paraId="6BA8BF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72C9B520">
      <w:pPr>
        <w:keepNext w:val="0"/>
        <w:keepLines w:val="0"/>
        <w:pageBreakBefore w:val="0"/>
        <w:kinsoku/>
        <w:wordWrap/>
        <w:overflowPunct/>
        <w:topLinePunct w:val="0"/>
        <w:autoSpaceDE/>
        <w:bidi w:val="0"/>
        <w:adjustRightInd w:val="0"/>
        <w:snapToGrid w:val="0"/>
        <w:spacing w:line="560" w:lineRule="exact"/>
        <w:textAlignment w:val="auto"/>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rPr>
        <w:t>《金融学基础》</w:t>
      </w:r>
      <w:r>
        <w:rPr>
          <w:rFonts w:hint="eastAsia" w:ascii="宋体" w:hAnsi="宋体" w:eastAsia="宋体" w:cs="宋体"/>
          <w:b/>
          <w:bCs/>
          <w:color w:val="auto"/>
          <w:kern w:val="0"/>
          <w:sz w:val="24"/>
          <w:szCs w:val="24"/>
          <w:lang w:val="en-US" w:eastAsia="zh-CN"/>
        </w:rPr>
        <w:t>考试大纲概述：</w:t>
      </w:r>
    </w:p>
    <w:p w14:paraId="0C9445F9">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学生应掌握金融学相关的基本概念、基本理论。</w:t>
      </w:r>
      <w:r>
        <w:rPr>
          <w:rFonts w:hint="eastAsia" w:ascii="宋体" w:hAnsi="宋体" w:eastAsia="宋体" w:cs="宋体"/>
          <w:color w:val="auto"/>
          <w:kern w:val="0"/>
          <w:sz w:val="24"/>
          <w:szCs w:val="24"/>
          <w:lang w:eastAsia="zh-CN"/>
        </w:rPr>
        <w:t>考查</w:t>
      </w:r>
      <w:r>
        <w:rPr>
          <w:rFonts w:hint="eastAsia" w:ascii="宋体" w:hAnsi="宋体" w:eastAsia="宋体" w:cs="宋体"/>
          <w:color w:val="auto"/>
          <w:kern w:val="0"/>
          <w:sz w:val="24"/>
          <w:szCs w:val="24"/>
        </w:rPr>
        <w:t>学生对金融学基本知识的掌握和运用能力；注重对学生知识结构的</w:t>
      </w:r>
      <w:r>
        <w:rPr>
          <w:rFonts w:hint="eastAsia" w:ascii="宋体" w:hAnsi="宋体" w:eastAsia="宋体" w:cs="宋体"/>
          <w:color w:val="auto"/>
          <w:kern w:val="0"/>
          <w:sz w:val="24"/>
          <w:szCs w:val="24"/>
          <w:lang w:eastAsia="zh-CN"/>
        </w:rPr>
        <w:t>考查</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eastAsia="zh-CN"/>
        </w:rPr>
        <w:t>考查</w:t>
      </w:r>
      <w:r>
        <w:rPr>
          <w:rFonts w:hint="eastAsia" w:ascii="宋体" w:hAnsi="宋体" w:eastAsia="宋体" w:cs="宋体"/>
          <w:color w:val="auto"/>
          <w:kern w:val="0"/>
          <w:sz w:val="24"/>
          <w:szCs w:val="24"/>
        </w:rPr>
        <w:t>学生综合运用金融学知识解决相关实际问题的能力 。</w:t>
      </w:r>
    </w:p>
    <w:p w14:paraId="326C634A">
      <w:pPr>
        <w:keepNext w:val="0"/>
        <w:keepLines w:val="0"/>
        <w:pageBreakBefore w:val="0"/>
        <w:kinsoku/>
        <w:wordWrap/>
        <w:overflowPunct/>
        <w:topLinePunct w:val="0"/>
        <w:autoSpaceDE/>
        <w:bidi w:val="0"/>
        <w:adjustRightInd w:val="0"/>
        <w:snapToGrid w:val="0"/>
        <w:spacing w:line="560" w:lineRule="exac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一、总论</w:t>
      </w:r>
    </w:p>
    <w:p w14:paraId="657F8A45">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1.货币</w:t>
      </w:r>
    </w:p>
    <w:p w14:paraId="5BE78433">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货币的定义</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货币的职能</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货币的类型</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货币制度</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货币的度量与货币层次的划分、货币与准货币。</w:t>
      </w:r>
    </w:p>
    <w:p w14:paraId="205FE4CF">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2.金融系统</w:t>
      </w:r>
    </w:p>
    <w:p w14:paraId="21703F44">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资金盈余者与资金短缺者，资金盈余者与短缺者直接的联系机制，金融体系的功能，金融工具，金融系统中的信息不对称。</w:t>
      </w:r>
    </w:p>
    <w:p w14:paraId="2623D1E7">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3.货币的时间价值</w:t>
      </w:r>
    </w:p>
    <w:p w14:paraId="04B85B7D">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货币的时间价值及其计量，复利与终值的计算，现值与年金现值，年金现值与终值的结合，通货膨胀、利息税的影响。</w:t>
      </w:r>
    </w:p>
    <w:p w14:paraId="12AD2847">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4.资源的时间配置</w:t>
      </w:r>
      <w:r>
        <w:rPr>
          <w:rFonts w:hint="eastAsia" w:ascii="宋体" w:hAnsi="宋体" w:eastAsia="宋体" w:cs="宋体"/>
          <w:b/>
          <w:color w:val="auto"/>
          <w:kern w:val="0"/>
          <w:sz w:val="24"/>
          <w:szCs w:val="24"/>
          <w:lang w:eastAsia="zh-CN"/>
        </w:rPr>
        <w:t>：</w:t>
      </w:r>
      <w:r>
        <w:rPr>
          <w:rFonts w:hint="eastAsia" w:ascii="宋体" w:hAnsi="宋体" w:eastAsia="宋体" w:cs="宋体"/>
          <w:b/>
          <w:color w:val="auto"/>
          <w:kern w:val="0"/>
          <w:sz w:val="24"/>
          <w:szCs w:val="24"/>
        </w:rPr>
        <w:t>储蓄与消费的选择</w:t>
      </w:r>
    </w:p>
    <w:p w14:paraId="6DB1BF3A">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储蓄的性质及其形式，储蓄的动机，储蓄与消费的选择，生命周期储蓄计划。</w:t>
      </w:r>
    </w:p>
    <w:p w14:paraId="778C998C">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5.资金盈余者的资产选择与风险管理</w:t>
      </w:r>
    </w:p>
    <w:p w14:paraId="31E9866D">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资产的类别及其各自的属性，资产选择的决定因素，资产风险及其管理。</w:t>
      </w:r>
    </w:p>
    <w:p w14:paraId="32B07BCF">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6.资金短缺者的融资选择</w:t>
      </w:r>
    </w:p>
    <w:p w14:paraId="181C25CA">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内源融资与外源融资，外源融资，企业融资结构，政府融资。</w:t>
      </w:r>
    </w:p>
    <w:p w14:paraId="630723E8">
      <w:pPr>
        <w:keepNext w:val="0"/>
        <w:keepLines w:val="0"/>
        <w:pageBreakBefore w:val="0"/>
        <w:kinsoku/>
        <w:wordWrap/>
        <w:overflowPunct/>
        <w:topLinePunct w:val="0"/>
        <w:autoSpaceDE/>
        <w:bidi w:val="0"/>
        <w:adjustRightInd w:val="0"/>
        <w:snapToGrid w:val="0"/>
        <w:spacing w:line="560" w:lineRule="exac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二、机构与市场</w:t>
      </w:r>
    </w:p>
    <w:p w14:paraId="4A7DFAE6">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7.金融系统中的金融机构</w:t>
      </w:r>
    </w:p>
    <w:p w14:paraId="033CB658">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商业银行，政策性银行，保险公司，证券与期货市场，其他金融机构，政策与监管金融机构。</w:t>
      </w:r>
    </w:p>
    <w:p w14:paraId="192D3503">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8.商业银行业务与管理</w:t>
      </w:r>
    </w:p>
    <w:p w14:paraId="3682861F">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商业银行业务，资产与负债管理，流动性管理，信用风险管理，利率风险管理，资产证券化与银行风险管理。</w:t>
      </w:r>
    </w:p>
    <w:p w14:paraId="77FEB547">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9.长期资本市场</w:t>
      </w:r>
    </w:p>
    <w:p w14:paraId="41042D7F">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长期资本市场定义，长期资本市场工具的发行与交易，资本市场债券价值评估，股票价值评估，市场有效性与市场的过度反应。</w:t>
      </w:r>
    </w:p>
    <w:p w14:paraId="7801909C">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10.短期货币市场</w:t>
      </w:r>
    </w:p>
    <w:p w14:paraId="4114DEDC">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同业拆借市场，票据市场，短期债券与债券回购市场，货币市场基金。</w:t>
      </w:r>
    </w:p>
    <w:p w14:paraId="1A636F1F">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11.外汇市场</w:t>
      </w:r>
    </w:p>
    <w:p w14:paraId="571F916D">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外汇与汇率，外汇交易，汇率风险及其管理。</w:t>
      </w:r>
    </w:p>
    <w:p w14:paraId="0791F093">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12.金融衍生品市场</w:t>
      </w:r>
    </w:p>
    <w:p w14:paraId="7A24921B">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远期交易，期货，期权，互换。</w:t>
      </w:r>
    </w:p>
    <w:p w14:paraId="760F0164">
      <w:pPr>
        <w:keepNext w:val="0"/>
        <w:keepLines w:val="0"/>
        <w:pageBreakBefore w:val="0"/>
        <w:kinsoku/>
        <w:wordWrap/>
        <w:overflowPunct/>
        <w:topLinePunct w:val="0"/>
        <w:autoSpaceDE/>
        <w:bidi w:val="0"/>
        <w:adjustRightInd w:val="0"/>
        <w:snapToGrid w:val="0"/>
        <w:spacing w:line="560" w:lineRule="exac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三、金融调控</w:t>
      </w:r>
    </w:p>
    <w:p w14:paraId="1FBF0B4C">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13.货币供给</w:t>
      </w:r>
    </w:p>
    <w:p w14:paraId="0E74B43E">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基础货币与基础货币方程式，银行体系派生存款的创造，货币乘数，决定货币乘数值因子的背后因素，货币供给的内生性与外生性。</w:t>
      </w:r>
    </w:p>
    <w:p w14:paraId="683E6B55">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14.货币需求</w:t>
      </w:r>
    </w:p>
    <w:p w14:paraId="603BC3D4">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古典货币数量论，凯恩斯的货币需求理论，凯恩斯主义对凯恩斯货币需求理论的发展，现代货币数量论，开放经济中的货币需求、货币替代与资产替代，货币流通速度与货币的迷失。</w:t>
      </w:r>
    </w:p>
    <w:p w14:paraId="4623CDE9">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15.利率水平与利率结构</w:t>
      </w:r>
    </w:p>
    <w:p w14:paraId="2F943D2A">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利率总水平的决定，利率的风险结构，利率期限结构。</w:t>
      </w:r>
    </w:p>
    <w:p w14:paraId="330D7E3A">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16.物价水平</w:t>
      </w:r>
      <w:r>
        <w:rPr>
          <w:rFonts w:hint="eastAsia" w:ascii="宋体" w:hAnsi="宋体" w:eastAsia="宋体" w:cs="宋体"/>
          <w:b/>
          <w:color w:val="auto"/>
          <w:kern w:val="0"/>
          <w:sz w:val="24"/>
          <w:szCs w:val="24"/>
          <w:lang w:eastAsia="zh-CN"/>
        </w:rPr>
        <w:t>：</w:t>
      </w:r>
      <w:r>
        <w:rPr>
          <w:rFonts w:hint="eastAsia" w:ascii="宋体" w:hAnsi="宋体" w:eastAsia="宋体" w:cs="宋体"/>
          <w:b/>
          <w:color w:val="auto"/>
          <w:kern w:val="0"/>
          <w:sz w:val="24"/>
          <w:szCs w:val="24"/>
        </w:rPr>
        <w:t>通货膨胀与通货紧缩</w:t>
      </w:r>
    </w:p>
    <w:p w14:paraId="2A498D6E">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物价总水平及其衡量，物价水平波动的经济影响，物价水平与就业，菲利普斯曲线，物价水平波动的原因，物价稳定政策。</w:t>
      </w:r>
    </w:p>
    <w:p w14:paraId="1C5A91A5">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17.汇率的决定与汇率制度</w:t>
      </w:r>
    </w:p>
    <w:p w14:paraId="22E8131C">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汇率波动的经济影响，汇率的决定，汇率制度，最优货币区。</w:t>
      </w:r>
    </w:p>
    <w:p w14:paraId="37D986B3">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18.国际收支</w:t>
      </w:r>
    </w:p>
    <w:p w14:paraId="373FB486">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国际收支与国际收支平衡表，国际收支失衡，国际收支失衡的调整，汇率在国际收支调节中的作用，内外均衡的冲突与政策搭配。</w:t>
      </w:r>
    </w:p>
    <w:p w14:paraId="5E1BE9D1">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lang w:val="en-US" w:eastAsia="zh-CN"/>
        </w:rPr>
        <w:t>19.</w:t>
      </w:r>
      <w:r>
        <w:rPr>
          <w:rFonts w:hint="eastAsia" w:ascii="宋体" w:hAnsi="宋体" w:eastAsia="宋体" w:cs="宋体"/>
          <w:b/>
          <w:color w:val="auto"/>
          <w:kern w:val="0"/>
          <w:sz w:val="24"/>
          <w:szCs w:val="24"/>
        </w:rPr>
        <w:t>国民收入与产出的决定</w:t>
      </w:r>
      <w:r>
        <w:rPr>
          <w:rFonts w:hint="eastAsia" w:ascii="宋体" w:hAnsi="宋体" w:eastAsia="宋体" w:cs="宋体"/>
          <w:b/>
          <w:color w:val="auto"/>
          <w:kern w:val="0"/>
          <w:sz w:val="24"/>
          <w:szCs w:val="24"/>
          <w:lang w:eastAsia="zh-CN"/>
        </w:rPr>
        <w:t>：</w:t>
      </w:r>
      <w:r>
        <w:rPr>
          <w:rFonts w:hint="eastAsia" w:ascii="宋体" w:hAnsi="宋体" w:eastAsia="宋体" w:cs="宋体"/>
          <w:b/>
          <w:color w:val="auto"/>
          <w:kern w:val="0"/>
          <w:sz w:val="24"/>
          <w:szCs w:val="24"/>
        </w:rPr>
        <w:t>IS-LM模型</w:t>
      </w:r>
    </w:p>
    <w:p w14:paraId="1FC4A55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总产出的决定，商品市场的均衡：IS曲线，货币市场的均衡：LM曲线，均衡国民收入的决定与自动调整机制，IS-LM模型中的财政政策与货币政策。</w:t>
      </w:r>
    </w:p>
    <w:p w14:paraId="72A45A1B">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20.中央银行货币政策操作</w:t>
      </w:r>
    </w:p>
    <w:p w14:paraId="282EE689">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货币政策的终极目标，货币政策操作工具，货币政策的手段变量与中介目标，货币政策传导机制，货币政策效果，货币政策哲学。</w:t>
      </w:r>
    </w:p>
    <w:p w14:paraId="2B6556ED">
      <w:pPr>
        <w:keepNext w:val="0"/>
        <w:keepLines w:val="0"/>
        <w:pageBreakBefore w:val="0"/>
        <w:kinsoku/>
        <w:wordWrap/>
        <w:overflowPunct/>
        <w:topLinePunct w:val="0"/>
        <w:autoSpaceDE/>
        <w:bidi w:val="0"/>
        <w:adjustRightInd w:val="0"/>
        <w:snapToGrid w:val="0"/>
        <w:spacing w:line="560" w:lineRule="exac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四、金融发展与稳定</w:t>
      </w:r>
    </w:p>
    <w:p w14:paraId="152A144A">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21.金融发展与金融结构</w:t>
      </w:r>
    </w:p>
    <w:p w14:paraId="72965132">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金融发展，金融发展中的金融相关比率，金融发展的路径，现代金融结构，金融发展中的金融全球化。</w:t>
      </w:r>
    </w:p>
    <w:p w14:paraId="6D33B4A8">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lang w:val="en-US" w:eastAsia="zh-CN"/>
        </w:rPr>
      </w:pPr>
      <w:r>
        <w:rPr>
          <w:rFonts w:hint="eastAsia" w:ascii="宋体" w:hAnsi="宋体" w:eastAsia="宋体" w:cs="宋体"/>
          <w:b/>
          <w:color w:val="auto"/>
          <w:kern w:val="0"/>
          <w:sz w:val="24"/>
          <w:szCs w:val="24"/>
        </w:rPr>
        <w:t>22.金融深化与金融自由</w:t>
      </w:r>
      <w:r>
        <w:rPr>
          <w:rFonts w:hint="eastAsia" w:ascii="宋体" w:hAnsi="宋体" w:eastAsia="宋体" w:cs="宋体"/>
          <w:b/>
          <w:color w:val="auto"/>
          <w:kern w:val="0"/>
          <w:sz w:val="24"/>
          <w:szCs w:val="24"/>
          <w:lang w:eastAsia="zh-CN"/>
        </w:rPr>
        <w:t>化</w:t>
      </w:r>
    </w:p>
    <w:p w14:paraId="66D2BF3B">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发展中国家金融制度的特征及金融抑制，货币与资本的互补性、储蓄与增长的良性循环，金融自由化。</w:t>
      </w:r>
    </w:p>
    <w:p w14:paraId="53A52E64">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23.金融危机</w:t>
      </w:r>
    </w:p>
    <w:p w14:paraId="66DF2A14">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金融危机定义，金融脆弱性与金融泡沫，金融</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稳定模型与金融危机的形成过程，货币危机理论，金融危机的防范。</w:t>
      </w:r>
    </w:p>
    <w:p w14:paraId="49DFB5EE">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24.金融监管</w:t>
      </w:r>
    </w:p>
    <w:p w14:paraId="70580780">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iCs/>
          <w:color w:val="auto"/>
          <w:kern w:val="0"/>
          <w:sz w:val="24"/>
          <w:szCs w:val="24"/>
        </w:rPr>
      </w:pPr>
      <w:r>
        <w:rPr>
          <w:rFonts w:hint="eastAsia" w:ascii="宋体" w:hAnsi="宋体" w:eastAsia="宋体" w:cs="宋体"/>
          <w:color w:val="auto"/>
          <w:kern w:val="0"/>
          <w:sz w:val="24"/>
          <w:szCs w:val="24"/>
        </w:rPr>
        <w:t>金融监管的必要性，银行业的监管，资本市场的监管，保险监管，金融监管体</w:t>
      </w:r>
      <w:r>
        <w:rPr>
          <w:rFonts w:hint="eastAsia" w:ascii="宋体" w:hAnsi="宋体" w:eastAsia="宋体" w:cs="宋体"/>
          <w:iCs/>
          <w:color w:val="auto"/>
          <w:kern w:val="0"/>
          <w:sz w:val="24"/>
          <w:szCs w:val="24"/>
        </w:rPr>
        <w:t>制的发展。</w:t>
      </w:r>
    </w:p>
    <w:p w14:paraId="52D4C11C">
      <w:pPr>
        <w:keepNext w:val="0"/>
        <w:keepLines w:val="0"/>
        <w:pageBreakBefore w:val="0"/>
        <w:kinsoku/>
        <w:wordWrap/>
        <w:overflowPunct/>
        <w:topLinePunct w:val="0"/>
        <w:autoSpaceDE/>
        <w:bidi w:val="0"/>
        <w:spacing w:line="560" w:lineRule="exact"/>
        <w:textAlignment w:val="auto"/>
        <w:rPr>
          <w:rFonts w:hint="default" w:eastAsiaTheme="minor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F93060B"/>
    <w:rsid w:val="10305890"/>
    <w:rsid w:val="1B1620EE"/>
    <w:rsid w:val="1E4914E1"/>
    <w:rsid w:val="2C334F53"/>
    <w:rsid w:val="30680397"/>
    <w:rsid w:val="34AB66CA"/>
    <w:rsid w:val="40F02470"/>
    <w:rsid w:val="43141FE6"/>
    <w:rsid w:val="4FA673B0"/>
    <w:rsid w:val="502B222B"/>
    <w:rsid w:val="50931309"/>
    <w:rsid w:val="53C652BA"/>
    <w:rsid w:val="56CD1D6A"/>
    <w:rsid w:val="57526E0C"/>
    <w:rsid w:val="65E26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5">
    <w:name w:val="Hyperlink"/>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2921</Words>
  <Characters>2993</Characters>
  <Lines>0</Lines>
  <Paragraphs>0</Paragraphs>
  <TotalTime>8</TotalTime>
  <ScaleCrop>false</ScaleCrop>
  <LinksUpToDate>false</LinksUpToDate>
  <CharactersWithSpaces>3661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cp:lastPrinted>2026-05-26T06:40:00Z</cp:lastPrinted>
  <dcterms:modified xsi:type="dcterms:W3CDTF">2026-09-27T08:59:33Z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3F6D5FA214A04DF3BABD3FAB1B6B057D_11</vt:lpwstr>
  </property>
  <property fmtid="{D5CDD505-2E9C-101B-9397-08002B2CF9AE}" pid="4" name="KSOTemplateDocerSaveRecord">
    <vt:lpwstr>eyJoZGlkIjoiZWI5ZDA3MTQ3OGY1NGEwNWNmYzY4MTYzMGJiNjQzYjUiLCJ1c2VySWQiOiIxNTA2MTk0MzE4In0=</vt:lpwstr>
  </property>
</Properties>
</file>