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r>
        <w:rPr>
          <w:rFonts w:hint="eastAsia" w:ascii="仿宋_GB2312" w:hAnsi="仿宋_GB2312" w:eastAsia="仿宋_GB2312" w:cs="仿宋_GB2312"/>
          <w:bCs/>
          <w:color w:val="auto"/>
          <w:sz w:val="28"/>
          <w:szCs w:val="28"/>
          <w:lang w:val="en-US" w:eastAsia="zh-CN"/>
        </w:rPr>
        <w:t xml:space="preserve">附件2 </w:t>
      </w: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人口、资源与环境经济学(020106)</w:t>
      </w:r>
    </w:p>
    <w:p w14:paraId="531BD312">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default" w:ascii="仿宋_GB2312" w:hAnsi="仿宋_GB2312" w:eastAsia="仿宋_GB2312" w:cs="仿宋_GB2312"/>
          <w:bCs/>
          <w:color w:val="FF0000"/>
          <w:sz w:val="28"/>
          <w:szCs w:val="28"/>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7E1F1682">
      <w:pPr>
        <w:spacing w:line="560" w:lineRule="exact"/>
        <w:jc w:val="center"/>
        <w:rPr>
          <w:rFonts w:hint="eastAsia" w:ascii="黑体" w:hAnsi="黑体" w:eastAsia="黑体" w:cs="黑体"/>
          <w:b/>
          <w:sz w:val="32"/>
          <w:szCs w:val="32"/>
        </w:rPr>
      </w:pPr>
      <w:r>
        <w:rPr>
          <w:rFonts w:hint="eastAsia" w:ascii="黑体" w:hAnsi="黑体" w:eastAsia="黑体" w:cs="黑体"/>
          <w:b/>
          <w:sz w:val="32"/>
          <w:szCs w:val="32"/>
        </w:rPr>
        <w:t>初试：</w:t>
      </w:r>
      <w:r>
        <w:rPr>
          <w:rFonts w:hint="eastAsia" w:ascii="黑体" w:hAnsi="黑体" w:eastAsia="黑体" w:cs="黑体"/>
          <w:b/>
          <w:sz w:val="32"/>
          <w:szCs w:val="32"/>
          <w:lang w:val="en-US" w:eastAsia="zh-CN"/>
        </w:rPr>
        <w:t>801|</w:t>
      </w:r>
      <w:r>
        <w:rPr>
          <w:rFonts w:hint="eastAsia" w:ascii="黑体" w:hAnsi="黑体" w:eastAsia="黑体" w:cs="黑体"/>
          <w:b/>
          <w:sz w:val="32"/>
          <w:szCs w:val="32"/>
        </w:rPr>
        <w:t>经济学基础</w:t>
      </w:r>
    </w:p>
    <w:p w14:paraId="71178D80">
      <w:pPr>
        <w:spacing w:line="560" w:lineRule="exact"/>
        <w:ind w:firstLine="640" w:firstLineChars="200"/>
        <w:jc w:val="left"/>
        <w:rPr>
          <w:rFonts w:hint="eastAsia" w:ascii="仿宋_GB2312" w:hAnsi="仿宋_GB2312" w:eastAsia="仿宋_GB2312" w:cs="仿宋_GB2312"/>
          <w:bCs/>
          <w:sz w:val="32"/>
          <w:szCs w:val="32"/>
        </w:rPr>
      </w:pPr>
    </w:p>
    <w:p w14:paraId="158AC1E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一、名词解释（6题，每题5分，共30分）</w:t>
      </w:r>
    </w:p>
    <w:p w14:paraId="3F10B84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二、简答题（6题，每题10分，共60分）</w:t>
      </w:r>
    </w:p>
    <w:p w14:paraId="4595CE0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三、论述题（2题，每题30分，共60分）</w:t>
      </w:r>
    </w:p>
    <w:p w14:paraId="45C8AF0F">
      <w:pPr>
        <w:spacing w:line="560" w:lineRule="exact"/>
        <w:ind w:firstLine="643" w:firstLineChars="200"/>
        <w:jc w:val="center"/>
        <w:rPr>
          <w:rFonts w:hint="eastAsia" w:ascii="黑体" w:hAnsi="黑体" w:eastAsia="黑体" w:cs="黑体"/>
          <w:b/>
          <w:sz w:val="32"/>
          <w:szCs w:val="32"/>
        </w:rPr>
      </w:pPr>
    </w:p>
    <w:p w14:paraId="4CAC1CEC">
      <w:pPr>
        <w:spacing w:line="560" w:lineRule="exact"/>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3005E4B6">
      <w:pPr>
        <w:spacing w:line="560" w:lineRule="exact"/>
        <w:rPr>
          <w:rFonts w:hint="eastAsia" w:ascii="宋体" w:hAnsi="宋体" w:eastAsia="宋体" w:cs="宋体"/>
          <w:bCs/>
          <w:sz w:val="24"/>
          <w:szCs w:val="24"/>
        </w:rPr>
      </w:pPr>
      <w:r>
        <w:rPr>
          <w:rFonts w:hint="eastAsia" w:ascii="宋体" w:hAnsi="宋体" w:eastAsia="宋体" w:cs="宋体"/>
          <w:bCs/>
          <w:sz w:val="24"/>
          <w:szCs w:val="24"/>
        </w:rPr>
        <w:t>[1]高鸿业.《西方经济学（宏/微观）》第8版 .中国人民大学出版社，2021年.</w:t>
      </w:r>
    </w:p>
    <w:p w14:paraId="14DF17BD">
      <w:pPr>
        <w:spacing w:line="560" w:lineRule="exact"/>
        <w:jc w:val="center"/>
        <w:rPr>
          <w:rFonts w:hint="eastAsia" w:ascii="仿宋_GB2312" w:hAnsi="仿宋_GB2312" w:eastAsia="仿宋_GB2312" w:cs="仿宋_GB2312"/>
          <w:bCs/>
          <w:sz w:val="32"/>
          <w:szCs w:val="32"/>
        </w:rPr>
      </w:pPr>
      <w:r>
        <w:rPr>
          <w:rFonts w:hint="eastAsia" w:ascii="黑体" w:hAnsi="黑体" w:eastAsia="黑体" w:cs="黑体"/>
          <w:b/>
          <w:sz w:val="32"/>
          <w:szCs w:val="32"/>
        </w:rPr>
        <w:t>考试大纲：</w:t>
      </w:r>
    </w:p>
    <w:p w14:paraId="05AE8D3A">
      <w:pPr>
        <w:widowControl/>
        <w:adjustRightInd w:val="0"/>
        <w:snapToGrid w:val="0"/>
        <w:spacing w:line="400" w:lineRule="exact"/>
        <w:ind w:firstLine="281" w:firstLineChars="100"/>
        <w:rPr>
          <w:rFonts w:ascii="宋体" w:hAnsi="宋体" w:eastAsia="宋体" w:cs="宋体"/>
          <w:color w:val="000000"/>
          <w:sz w:val="24"/>
          <w:shd w:val="clear" w:color="auto" w:fill="FFFFFF"/>
        </w:rPr>
      </w:pPr>
      <w:r>
        <w:rPr>
          <w:rFonts w:hint="eastAsia" w:ascii="仿宋_GB2312" w:hAnsi="仿宋_GB2312" w:eastAsia="仿宋_GB2312" w:cs="仿宋_GB2312"/>
          <w:b/>
          <w:color w:val="000000"/>
          <w:kern w:val="0"/>
          <w:sz w:val="28"/>
          <w:szCs w:val="28"/>
        </w:rPr>
        <w:t>《经济学基础》考试大纲概述：</w:t>
      </w:r>
    </w:p>
    <w:p w14:paraId="38F3EA9A">
      <w:pPr>
        <w:widowControl/>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6F0E1B46">
      <w:pPr>
        <w:widowControl/>
        <w:adjustRightInd w:val="0"/>
        <w:snapToGrid w:val="0"/>
        <w:ind w:firstLine="480"/>
        <w:rPr>
          <w:rFonts w:hint="eastAsia" w:ascii="宋体" w:hAnsi="宋体" w:eastAsia="宋体" w:cs="宋体"/>
          <w:bCs/>
          <w:sz w:val="24"/>
          <w:szCs w:val="24"/>
        </w:rPr>
      </w:pPr>
    </w:p>
    <w:p w14:paraId="303AF401">
      <w:pPr>
        <w:widowControl/>
        <w:snapToGrid w:val="0"/>
        <w:rPr>
          <w:rFonts w:hint="eastAsia" w:ascii="宋体" w:hAnsi="宋体" w:eastAsia="宋体" w:cs="宋体"/>
          <w:color w:val="000000"/>
          <w:sz w:val="24"/>
          <w:shd w:val="clear" w:color="auto" w:fill="FFFFFF"/>
        </w:rPr>
      </w:pPr>
      <w:r>
        <w:rPr>
          <w:rFonts w:ascii="宋体" w:hAnsi="宋体" w:eastAsia="宋体" w:cs="宋体"/>
          <w:b/>
          <w:bCs/>
          <w:color w:val="000000"/>
          <w:sz w:val="24"/>
          <w:shd w:val="clear" w:color="auto" w:fill="FFFFFF"/>
        </w:rPr>
        <w:t>第一部分  微观经济理论</w:t>
      </w:r>
    </w:p>
    <w:p w14:paraId="60AFA181">
      <w:pPr>
        <w:widowControl/>
        <w:snapToGrid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一、需求、供给与价格理论</w:t>
      </w:r>
    </w:p>
    <w:p w14:paraId="4CD3B538">
      <w:pPr>
        <w:numPr>
          <w:ilvl w:val="0"/>
          <w:numId w:val="1"/>
        </w:numPr>
        <w:shd w:val="solid" w:color="FFFFFF" w:fill="auto"/>
        <w:autoSpaceDN w:val="0"/>
        <w:rPr>
          <w:rFonts w:hint="eastAsia" w:ascii="宋体" w:hAnsi="宋体" w:eastAsia="宋体" w:cs="宋体"/>
          <w:color w:val="000000"/>
          <w:spacing w:val="-17"/>
          <w:sz w:val="24"/>
          <w:shd w:val="clear" w:color="auto" w:fill="FFFFFF"/>
        </w:rPr>
      </w:pPr>
      <w:r>
        <w:rPr>
          <w:rFonts w:ascii="宋体" w:hAnsi="宋体" w:eastAsia="宋体" w:cs="宋体"/>
          <w:color w:val="000000"/>
          <w:spacing w:val="-17"/>
          <w:sz w:val="24"/>
          <w:shd w:val="clear" w:color="auto" w:fill="FFFFFF"/>
        </w:rPr>
        <w:t>需求理论</w:t>
      </w:r>
    </w:p>
    <w:p w14:paraId="70DBF9A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pacing w:val="-13"/>
          <w:sz w:val="24"/>
          <w:shd w:val="clear" w:color="auto" w:fill="FFFFFF"/>
        </w:rPr>
        <w:t xml:space="preserve">     </w:t>
      </w:r>
      <w:r>
        <w:rPr>
          <w:rFonts w:ascii="宋体" w:hAnsi="宋体" w:eastAsia="宋体" w:cs="宋体"/>
          <w:color w:val="000000"/>
          <w:sz w:val="24"/>
          <w:shd w:val="clear" w:color="auto" w:fill="FFFFFF"/>
        </w:rPr>
        <w:t>需求、需求表、需求曲线与需求规律      影响需求的因素：需求函数</w:t>
      </w:r>
    </w:p>
    <w:p w14:paraId="4204C951">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需求定理                              需求量的变动与需求的变动</w:t>
      </w:r>
    </w:p>
    <w:p w14:paraId="4CABFFD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供给理论</w:t>
      </w:r>
    </w:p>
    <w:p w14:paraId="7D83C08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pacing w:val="-13"/>
          <w:sz w:val="24"/>
          <w:shd w:val="clear" w:color="auto" w:fill="FFFFFF"/>
        </w:rPr>
        <w:t xml:space="preserve">    </w:t>
      </w:r>
      <w:r>
        <w:rPr>
          <w:rFonts w:ascii="宋体" w:hAnsi="宋体" w:eastAsia="宋体" w:cs="宋体"/>
          <w:color w:val="000000"/>
          <w:sz w:val="24"/>
          <w:shd w:val="clear" w:color="auto" w:fill="FFFFFF"/>
        </w:rPr>
        <w:t xml:space="preserve"> 供给、供给表、供给曲线                影响供给的因素：供给函数</w:t>
      </w:r>
    </w:p>
    <w:p w14:paraId="427D4BC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供给定理                              供给量的变动与供给的变动</w:t>
      </w:r>
    </w:p>
    <w:p w14:paraId="5BD0608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价格的决定</w:t>
      </w:r>
    </w:p>
    <w:p w14:paraId="64137846">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均衡价格含义及形成                    需求与供给变动对均衡的影响</w:t>
      </w:r>
    </w:p>
    <w:p w14:paraId="59FA0AD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需求价格弹性</w:t>
      </w:r>
    </w:p>
    <w:p w14:paraId="687ECC25">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需求价格弹性的含义与分类              影响需求弹性的因素</w:t>
      </w:r>
    </w:p>
    <w:p w14:paraId="636A92D0">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弹性理论的运用：需求弹性与总收益</w:t>
      </w:r>
    </w:p>
    <w:p w14:paraId="0A8F1A92">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二、消费者行为理论（效用理论）</w:t>
      </w:r>
    </w:p>
    <w:p w14:paraId="2EFB00D2">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效用</w:t>
      </w:r>
    </w:p>
    <w:p w14:paraId="6E5B5174">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基数效用论与序数效用论     总效用与边际效用      边际效用递减规律</w:t>
      </w:r>
    </w:p>
    <w:p w14:paraId="4050AED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序数效用论</w:t>
      </w:r>
    </w:p>
    <w:p w14:paraId="724FACD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无差异曲线及特征           消费可能线（预算线）   消费者均衡</w:t>
      </w:r>
    </w:p>
    <w:p w14:paraId="75A6AC4A">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消费者行为理论的运用</w:t>
      </w:r>
    </w:p>
    <w:p w14:paraId="162C7A36">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消费者剩余                    消费者行为与需求定理</w:t>
      </w:r>
    </w:p>
    <w:p w14:paraId="43592FAD">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三、生产理论</w:t>
      </w:r>
    </w:p>
    <w:p w14:paraId="4F86D351">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生产要素与生产函数</w:t>
      </w:r>
    </w:p>
    <w:p w14:paraId="0265B19B">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边际收益递减规律</w:t>
      </w:r>
    </w:p>
    <w:p w14:paraId="125B3F5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总产量、平均产量、边际产量的关系</w:t>
      </w:r>
    </w:p>
    <w:p w14:paraId="519A5AC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等产量线与等成本线</w:t>
      </w:r>
    </w:p>
    <w:p w14:paraId="299A6C0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规模报酬</w:t>
      </w:r>
    </w:p>
    <w:p w14:paraId="242EFE32">
      <w:pPr>
        <w:shd w:val="solid" w:color="FFFFFF" w:fill="auto"/>
        <w:autoSpaceDN w:val="0"/>
        <w:rPr>
          <w:rFonts w:hint="eastAsia" w:ascii="宋体" w:hAnsi="宋体" w:eastAsia="宋体" w:cs="宋体"/>
          <w:bCs/>
          <w:color w:val="000000"/>
          <w:sz w:val="24"/>
          <w:shd w:val="clear" w:color="auto" w:fill="FFFFFF"/>
        </w:rPr>
      </w:pPr>
      <w:r>
        <w:rPr>
          <w:rFonts w:ascii="宋体" w:hAnsi="宋体" w:eastAsia="宋体" w:cs="宋体"/>
          <w:bCs/>
          <w:color w:val="000000"/>
          <w:sz w:val="24"/>
          <w:shd w:val="clear" w:color="auto" w:fill="FFFFFF"/>
        </w:rPr>
        <w:t>四、成本与收益理论</w:t>
      </w:r>
    </w:p>
    <w:p w14:paraId="39DA79BD">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成本</w:t>
      </w:r>
    </w:p>
    <w:p w14:paraId="0D7D1CA2">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会计成本与机会成本             机会成本在企业决策中的作用</w:t>
      </w:r>
    </w:p>
    <w:p w14:paraId="13C0259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短期成本</w:t>
      </w:r>
    </w:p>
    <w:p w14:paraId="4D6E777B">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短期成本的分类                 各类短期成本的变动规律及其关系</w:t>
      </w:r>
    </w:p>
    <w:p w14:paraId="21EA85E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长期成本</w:t>
      </w:r>
    </w:p>
    <w:p w14:paraId="3D20793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长期总成本                     长期平均成本          长期边际成本</w:t>
      </w:r>
    </w:p>
    <w:p w14:paraId="21D6FB9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收益与利润最大化</w:t>
      </w:r>
    </w:p>
    <w:p w14:paraId="4F7E83B5">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总收益、平均收益与边际收益     利润最大化原则</w:t>
      </w:r>
    </w:p>
    <w:p w14:paraId="438F84E7">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五、竞争市场理论</w:t>
      </w:r>
    </w:p>
    <w:p w14:paraId="73EA7D10">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市场结构</w:t>
      </w:r>
    </w:p>
    <w:p w14:paraId="05CCC54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市场结构类型                   市场结构与企业行为的关系</w:t>
      </w:r>
    </w:p>
    <w:p w14:paraId="1BB8EF04">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完全竞争市场</w:t>
      </w:r>
    </w:p>
    <w:p w14:paraId="20B6251A">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完全竞争市场含义与特征     完全竞争市场需求曲线、平均收益与边际收益</w:t>
      </w:r>
    </w:p>
    <w:p w14:paraId="06BA163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利润最大化的基本原则       完全竞争市场上的短期均衡与长期均衡</w:t>
      </w:r>
    </w:p>
    <w:p w14:paraId="2BF2DF3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非完全竞争市场</w:t>
      </w:r>
    </w:p>
    <w:p w14:paraId="1F69693E">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完全垄断、垄断竞争和寡头垄断市场的条件及其特征</w:t>
      </w:r>
    </w:p>
    <w:p w14:paraId="29F72E7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完全垄断厂商的需求曲线、平均收益与边际收益</w:t>
      </w:r>
    </w:p>
    <w:p w14:paraId="0ABE54E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垄断市场上的短期均衡与长期均衡（了解）</w:t>
      </w:r>
    </w:p>
    <w:p w14:paraId="42CB5125">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垄断竞争与完全竞争的比较</w:t>
      </w:r>
    </w:p>
    <w:p w14:paraId="0CF4D9A0">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垄断竞争市场上的产品差别竞争    </w:t>
      </w:r>
    </w:p>
    <w:p w14:paraId="284D9928">
      <w:pPr>
        <w:shd w:val="solid" w:color="FFFFFF" w:fill="auto"/>
        <w:autoSpaceDN w:val="0"/>
        <w:rPr>
          <w:rFonts w:hint="eastAsia" w:ascii="宋体" w:hAnsi="宋体" w:eastAsia="宋体" w:cs="宋体"/>
          <w:b/>
          <w:bCs/>
          <w:color w:val="000000"/>
          <w:sz w:val="24"/>
          <w:shd w:val="clear" w:color="auto" w:fill="FFFFFF"/>
        </w:rPr>
      </w:pPr>
    </w:p>
    <w:p w14:paraId="43F958B1">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
          <w:bCs/>
          <w:color w:val="000000"/>
          <w:sz w:val="24"/>
          <w:shd w:val="clear" w:color="auto" w:fill="FFFFFF"/>
        </w:rPr>
        <w:t>第二部分  宏观经济理论</w:t>
      </w:r>
    </w:p>
    <w:p w14:paraId="4FCC4AE0">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一、国民收入决定理论</w:t>
      </w:r>
    </w:p>
    <w:p w14:paraId="6B6165A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w:t>
      </w:r>
    </w:p>
    <w:p w14:paraId="12851E7F">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国内生产总值的含义                       </w:t>
      </w:r>
    </w:p>
    <w:p w14:paraId="17EFA06B">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国内生产总值的计算方法</w:t>
      </w:r>
    </w:p>
    <w:p w14:paraId="5EE9D7C6">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实际国内生产总值与名义国内生产总值      </w:t>
      </w:r>
    </w:p>
    <w:p w14:paraId="4C07BBE4">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国内生产总值与人均国内生产总值</w:t>
      </w:r>
    </w:p>
    <w:p w14:paraId="5FC0086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消费函数、储蓄函数</w:t>
      </w:r>
    </w:p>
    <w:p w14:paraId="650FF4F8">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乘数理论</w:t>
      </w:r>
    </w:p>
    <w:p w14:paraId="3035B0DA">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其他宏观经济指标（了解）</w:t>
      </w:r>
    </w:p>
    <w:p w14:paraId="16CE5E1C">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物价指数                       失业率</w:t>
      </w:r>
    </w:p>
    <w:p w14:paraId="05FD1385">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二、产品市场和货币市场的一般均衡理论</w:t>
      </w:r>
    </w:p>
    <w:p w14:paraId="58E2836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投资的决定</w:t>
      </w:r>
    </w:p>
    <w:p w14:paraId="04D7AEB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实际利率与投资                  边际效率</w:t>
      </w:r>
    </w:p>
    <w:p w14:paraId="61570B22">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投资边际效率曲线                预期收益与投资</w:t>
      </w:r>
    </w:p>
    <w:p w14:paraId="6352F0F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商品市场的均衡（IS）曲线</w:t>
      </w:r>
    </w:p>
    <w:p w14:paraId="7FF316DB">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货币市场的均衡（LM）曲线</w:t>
      </w:r>
    </w:p>
    <w:p w14:paraId="2BC0DBAD">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利率的决定</w:t>
      </w:r>
    </w:p>
    <w:p w14:paraId="20B8491A">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 xml:space="preserve">三、宏观经济政策分析 </w:t>
      </w:r>
    </w:p>
    <w:p w14:paraId="58D9285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财政政策和货币政策的影响</w:t>
      </w:r>
    </w:p>
    <w:p w14:paraId="1DED466F">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                         货币政策</w:t>
      </w:r>
    </w:p>
    <w:p w14:paraId="32B3C5F9">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财政政策和货币政策的影响         财政政策和货币政策的混合使用</w:t>
      </w:r>
    </w:p>
    <w:p w14:paraId="35BEBD6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经济政策目标</w:t>
      </w:r>
    </w:p>
    <w:p w14:paraId="7174A0A8">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充分就业                         价格稳定 </w:t>
      </w:r>
    </w:p>
    <w:p w14:paraId="22444C7D">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经济持续均衡增长                 国际收支平衡。</w:t>
      </w:r>
    </w:p>
    <w:p w14:paraId="313709D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w:t>
      </w:r>
    </w:p>
    <w:p w14:paraId="278139F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财政政策工具                     自动稳定与相机抉择的财政政策</w:t>
      </w:r>
    </w:p>
    <w:p w14:paraId="2398E5A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功能财政和预算盈余               充分就业预算盈余与财政政策方向</w:t>
      </w:r>
    </w:p>
    <w:p w14:paraId="3BAE6732">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货币政策</w:t>
      </w:r>
    </w:p>
    <w:p w14:paraId="2CB9BFD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商业银行和中央银行               存款创造和货币供给</w:t>
      </w:r>
    </w:p>
    <w:p w14:paraId="6D02147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债券价格与市场利息率的关系       货币政策及其工具</w:t>
      </w:r>
    </w:p>
    <w:p w14:paraId="03D80641">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四、失业、通货膨胀理论</w:t>
      </w:r>
    </w:p>
    <w:p w14:paraId="1174AA2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失业理论</w:t>
      </w:r>
    </w:p>
    <w:p w14:paraId="43B173E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失业的分类                       自然失业率和自然就业率  </w:t>
      </w:r>
    </w:p>
    <w:p w14:paraId="09B7A8C1">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失业的影响                       奥肯定律</w:t>
      </w:r>
    </w:p>
    <w:p w14:paraId="65D1AD0F">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通货膨胀理论</w:t>
      </w:r>
    </w:p>
    <w:p w14:paraId="37E8F416">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通货膨胀的含义与分类             通货膨胀对经济的影响  </w:t>
      </w:r>
    </w:p>
    <w:p w14:paraId="7EE8CF7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通货膨胀的原因                   需求拉动的通货膨胀理论    </w:t>
      </w:r>
    </w:p>
    <w:p w14:paraId="446B585A">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供给推动的通货膨胀理论           其他通货膨胀理论</w:t>
      </w:r>
    </w:p>
    <w:p w14:paraId="65294BF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治理通货膨胀的对策</w:t>
      </w:r>
    </w:p>
    <w:p w14:paraId="7C54F3D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菲利普斯曲线</w:t>
      </w:r>
    </w:p>
    <w:p w14:paraId="621B4B28">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菲利普斯曲线的提出               菲利普斯曲线的政策含义</w:t>
      </w:r>
    </w:p>
    <w:p w14:paraId="289E211A">
      <w:pPr>
        <w:spacing w:line="560" w:lineRule="exact"/>
        <w:jc w:val="both"/>
        <w:rPr>
          <w:rFonts w:hint="eastAsia" w:ascii="黑体" w:hAnsi="黑体" w:eastAsia="黑体" w:cs="黑体"/>
          <w:b/>
          <w:sz w:val="32"/>
          <w:szCs w:val="32"/>
        </w:rPr>
      </w:pPr>
    </w:p>
    <w:p w14:paraId="2E81472F">
      <w:pPr>
        <w:spacing w:line="560" w:lineRule="exact"/>
        <w:jc w:val="both"/>
        <w:rPr>
          <w:rFonts w:hint="eastAsia" w:ascii="黑体" w:hAnsi="黑体" w:eastAsia="黑体" w:cs="黑体"/>
          <w:b/>
          <w:sz w:val="32"/>
          <w:szCs w:val="32"/>
        </w:rPr>
      </w:pPr>
    </w:p>
    <w:p w14:paraId="2BA66CF7">
      <w:pPr>
        <w:spacing w:line="560" w:lineRule="exact"/>
        <w:jc w:val="both"/>
        <w:rPr>
          <w:rFonts w:hint="eastAsia" w:ascii="黑体" w:hAnsi="黑体" w:eastAsia="黑体" w:cs="黑体"/>
          <w:b/>
          <w:sz w:val="32"/>
          <w:szCs w:val="32"/>
        </w:rPr>
      </w:pPr>
    </w:p>
    <w:p w14:paraId="74954BA0">
      <w:pPr>
        <w:spacing w:line="560" w:lineRule="exact"/>
        <w:jc w:val="both"/>
        <w:rPr>
          <w:rFonts w:hint="eastAsia" w:ascii="黑体" w:hAnsi="黑体" w:eastAsia="黑体" w:cs="黑体"/>
          <w:b/>
          <w:sz w:val="32"/>
          <w:szCs w:val="32"/>
        </w:rPr>
      </w:pPr>
    </w:p>
    <w:p w14:paraId="255670FB">
      <w:pPr>
        <w:spacing w:line="560" w:lineRule="exact"/>
        <w:jc w:val="both"/>
        <w:rPr>
          <w:rFonts w:hint="eastAsia" w:ascii="黑体" w:hAnsi="黑体" w:eastAsia="黑体" w:cs="黑体"/>
          <w:b/>
          <w:sz w:val="32"/>
          <w:szCs w:val="32"/>
        </w:rPr>
      </w:pPr>
    </w:p>
    <w:p w14:paraId="2AB3C8B0">
      <w:pPr>
        <w:rPr>
          <w:rFonts w:hint="eastAsia"/>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复试笔试：F558-可持续发展</w:t>
      </w:r>
    </w:p>
    <w:p w14:paraId="0182641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39BB7E6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一、材料分析题（2题，每题30分，共60分）</w:t>
      </w:r>
    </w:p>
    <w:p w14:paraId="779B307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二、论述题（2题，每题20分，共40分）</w:t>
      </w:r>
    </w:p>
    <w:p w14:paraId="2CDEC498">
      <w:pPr>
        <w:jc w:val="left"/>
        <w:rPr>
          <w:rFonts w:ascii="宋体" w:hAnsi="宋体" w:cs="宋体"/>
          <w:sz w:val="24"/>
          <w:szCs w:val="24"/>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30C477E3">
      <w:pPr>
        <w:numPr>
          <w:ilvl w:val="0"/>
          <w:numId w:val="3"/>
        </w:numPr>
        <w:spacing w:line="560" w:lineRule="exact"/>
        <w:rPr>
          <w:rFonts w:hint="eastAsia" w:ascii="宋体" w:hAnsi="宋体" w:eastAsia="宋体" w:cs="宋体"/>
          <w:bCs/>
          <w:sz w:val="24"/>
          <w:szCs w:val="24"/>
        </w:rPr>
      </w:pPr>
      <w:r>
        <w:rPr>
          <w:rFonts w:hint="eastAsia" w:ascii="宋体" w:hAnsi="宋体" w:eastAsia="宋体" w:cs="宋体"/>
          <w:bCs/>
          <w:sz w:val="24"/>
          <w:szCs w:val="24"/>
        </w:rPr>
        <w:t>叶文虎</w:t>
      </w:r>
      <w:r>
        <w:rPr>
          <w:rFonts w:hint="eastAsia" w:ascii="宋体" w:hAnsi="宋体" w:eastAsia="宋体" w:cs="宋体"/>
          <w:bCs/>
          <w:sz w:val="24"/>
          <w:szCs w:val="24"/>
          <w:lang w:val="en-US" w:eastAsia="zh-CN"/>
        </w:rPr>
        <w:t>,</w:t>
      </w:r>
      <w:r>
        <w:rPr>
          <w:rFonts w:hint="eastAsia" w:ascii="宋体" w:hAnsi="宋体" w:eastAsia="宋体" w:cs="宋体"/>
          <w:bCs/>
          <w:sz w:val="24"/>
          <w:szCs w:val="24"/>
        </w:rPr>
        <w:t>张劲松</w:t>
      </w:r>
      <w:r>
        <w:rPr>
          <w:rFonts w:hint="eastAsia" w:ascii="宋体" w:hAnsi="宋体" w:eastAsia="宋体" w:cs="宋体"/>
          <w:bCs/>
          <w:sz w:val="24"/>
          <w:szCs w:val="24"/>
          <w:lang w:val="en-US" w:eastAsia="zh-CN"/>
        </w:rPr>
        <w:t>.</w:t>
      </w:r>
      <w:r>
        <w:rPr>
          <w:rFonts w:hint="eastAsia" w:ascii="宋体" w:hAnsi="宋体" w:eastAsia="宋体" w:cs="宋体"/>
          <w:bCs/>
          <w:sz w:val="24"/>
          <w:szCs w:val="24"/>
        </w:rPr>
        <w:t>《可持续发展引论》（第2版）</w:t>
      </w:r>
      <w:r>
        <w:rPr>
          <w:rFonts w:hint="eastAsia" w:ascii="宋体" w:hAnsi="宋体" w:eastAsia="宋体" w:cs="宋体"/>
          <w:bCs/>
          <w:sz w:val="24"/>
          <w:szCs w:val="24"/>
          <w:lang w:val="en-US" w:eastAsia="zh-CN"/>
        </w:rPr>
        <w:t>.</w:t>
      </w:r>
      <w:r>
        <w:rPr>
          <w:rFonts w:hint="eastAsia" w:ascii="宋体" w:hAnsi="宋体" w:eastAsia="宋体" w:cs="宋体"/>
          <w:bCs/>
          <w:sz w:val="24"/>
          <w:szCs w:val="24"/>
        </w:rPr>
        <w:t>高等教育出版社</w:t>
      </w:r>
      <w:r>
        <w:rPr>
          <w:rFonts w:hint="eastAsia" w:ascii="宋体" w:hAnsi="宋体" w:eastAsia="宋体" w:cs="宋体"/>
          <w:bCs/>
          <w:sz w:val="24"/>
          <w:szCs w:val="24"/>
          <w:lang w:val="en-US" w:eastAsia="zh-CN"/>
        </w:rPr>
        <w:t>,</w:t>
      </w:r>
      <w:r>
        <w:rPr>
          <w:rFonts w:hint="eastAsia" w:ascii="宋体" w:hAnsi="宋体" w:eastAsia="宋体" w:cs="宋体"/>
          <w:bCs/>
          <w:sz w:val="24"/>
          <w:szCs w:val="24"/>
        </w:rPr>
        <w:t>2022年</w:t>
      </w:r>
      <w:r>
        <w:rPr>
          <w:rFonts w:hint="eastAsia" w:ascii="宋体" w:hAnsi="宋体" w:eastAsia="宋体" w:cs="宋体"/>
          <w:bCs/>
          <w:sz w:val="24"/>
          <w:szCs w:val="24"/>
          <w:lang w:val="en-US" w:eastAsia="zh-CN"/>
        </w:rPr>
        <w:t>.</w:t>
      </w:r>
    </w:p>
    <w:p w14:paraId="4ABB912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014D5109">
      <w:pPr>
        <w:widowControl/>
        <w:adjustRightInd w:val="0"/>
        <w:snapToGrid w:val="0"/>
        <w:spacing w:line="400" w:lineRule="exact"/>
        <w:ind w:firstLine="281" w:firstLineChars="100"/>
        <w:rPr>
          <w:rFonts w:hint="eastAsia"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rPr>
        <w:t>《可持续发展》考试大纲概述：</w:t>
      </w:r>
    </w:p>
    <w:p w14:paraId="22DB9AA0">
      <w:pPr>
        <w:widowControl/>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了解可持续发展的学科内在联系，包括可持续发展的提出与由来、可持续发展的哲学基础、可持续发展的基本理论、可持续发展的议程、可持续发展的实践、中国可持续发展的现状与策略、中国可持续发展的实践、可持续发展的衡量与评价</w:t>
      </w:r>
      <w:r>
        <w:rPr>
          <w:rFonts w:hint="eastAsia" w:ascii="宋体" w:hAnsi="宋体" w:eastAsia="宋体" w:cs="宋体"/>
          <w:bCs/>
          <w:sz w:val="24"/>
          <w:szCs w:val="24"/>
          <w:lang w:eastAsia="zh-CN"/>
        </w:rPr>
        <w:t>、</w:t>
      </w:r>
      <w:r>
        <w:rPr>
          <w:rFonts w:hint="eastAsia" w:ascii="宋体" w:hAnsi="宋体" w:cs="宋体"/>
          <w:bCs/>
          <w:color w:val="000000"/>
          <w:sz w:val="24"/>
          <w:szCs w:val="24"/>
          <w:shd w:val="clear" w:color="auto" w:fill="FFFFFF"/>
        </w:rPr>
        <w:t>迈向人类文明的新时代</w:t>
      </w:r>
      <w:r>
        <w:rPr>
          <w:rFonts w:hint="eastAsia" w:ascii="宋体" w:hAnsi="宋体" w:cs="宋体"/>
          <w:bCs/>
          <w:color w:val="000000"/>
          <w:sz w:val="24"/>
          <w:szCs w:val="24"/>
          <w:shd w:val="clear" w:color="auto" w:fill="FFFFFF"/>
          <w:lang w:eastAsia="zh-CN"/>
        </w:rPr>
        <w:t>，</w:t>
      </w:r>
      <w:r>
        <w:rPr>
          <w:rFonts w:hint="eastAsia" w:ascii="宋体" w:hAnsi="宋体" w:eastAsia="宋体" w:cs="宋体"/>
          <w:bCs/>
          <w:sz w:val="24"/>
          <w:szCs w:val="24"/>
        </w:rPr>
        <w:t>要求考生能够应用所学的知识分析和解决实际问题。</w:t>
      </w:r>
    </w:p>
    <w:p w14:paraId="3DBEA76C">
      <w:pPr>
        <w:widowControl/>
        <w:adjustRightInd w:val="0"/>
        <w:snapToGrid w:val="0"/>
        <w:ind w:firstLine="480"/>
        <w:rPr>
          <w:rFonts w:hint="eastAsia" w:ascii="宋体" w:hAnsi="宋体" w:eastAsia="宋体" w:cs="宋体"/>
          <w:bCs/>
          <w:sz w:val="24"/>
          <w:szCs w:val="24"/>
        </w:rPr>
      </w:pPr>
    </w:p>
    <w:p w14:paraId="0D1D4562">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lang w:val="en-US" w:eastAsia="zh-CN"/>
        </w:rPr>
        <w:t xml:space="preserve">一、 </w:t>
      </w:r>
      <w:r>
        <w:rPr>
          <w:rFonts w:hint="eastAsia" w:ascii="宋体" w:hAnsi="宋体" w:cs="宋体"/>
          <w:bCs/>
          <w:color w:val="000000"/>
          <w:sz w:val="24"/>
          <w:szCs w:val="24"/>
          <w:shd w:val="clear" w:color="auto" w:fill="FFFFFF"/>
        </w:rPr>
        <w:t xml:space="preserve">可持续发展的提出与由来 </w:t>
      </w:r>
    </w:p>
    <w:p w14:paraId="36FB884F">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人类当前面临着环境危机</w:t>
      </w:r>
    </w:p>
    <w:p w14:paraId="6AA91204">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人类必须走可持续发展之路</w:t>
      </w:r>
    </w:p>
    <w:p w14:paraId="7325230E">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二、 可持续发展的哲学基础 </w:t>
      </w:r>
    </w:p>
    <w:p w14:paraId="72BEB6BC">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可持续发展的自然观 </w:t>
      </w:r>
    </w:p>
    <w:p w14:paraId="197544A8">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可持续发展的价值观 </w:t>
      </w:r>
    </w:p>
    <w:p w14:paraId="42D7AC56">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可持续发展的伦理观</w:t>
      </w:r>
    </w:p>
    <w:p w14:paraId="66FB27C5">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三、 可持续发展的基本理论 </w:t>
      </w:r>
    </w:p>
    <w:p w14:paraId="4C31AA2D">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资源永续利用理论 </w:t>
      </w:r>
    </w:p>
    <w:p w14:paraId="285A529F">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外部性和公共物品理论 </w:t>
      </w:r>
    </w:p>
    <w:p w14:paraId="2C20622C">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财富代际公平分配理论 </w:t>
      </w:r>
    </w:p>
    <w:p w14:paraId="7163059A">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三种生产理论 </w:t>
      </w:r>
    </w:p>
    <w:p w14:paraId="7EDADA0E">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四、 可持续发展的议程 </w:t>
      </w:r>
    </w:p>
    <w:p w14:paraId="2CEC47B1">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联合国可持续发展议程 </w:t>
      </w:r>
    </w:p>
    <w:p w14:paraId="7F872DD5">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中国的可持续发展议程 </w:t>
      </w:r>
    </w:p>
    <w:p w14:paraId="7FF65117">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五、 可持续发展的实践——社会行为的调整 </w:t>
      </w:r>
    </w:p>
    <w:p w14:paraId="2791E435">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可持续发展行为的主体与对象 </w:t>
      </w:r>
    </w:p>
    <w:p w14:paraId="22EC7AAE">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可持续发展的政府行为 </w:t>
      </w:r>
    </w:p>
    <w:p w14:paraId="652B2C3E">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可持续发展的企业行为 </w:t>
      </w:r>
    </w:p>
    <w:p w14:paraId="444D27DB">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可持续发展的公众行为 </w:t>
      </w:r>
    </w:p>
    <w:p w14:paraId="5EFED486">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六、 中国可持续发展的现状与策略 </w:t>
      </w:r>
    </w:p>
    <w:p w14:paraId="712BFBF5">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中</w:t>
      </w:r>
      <w:r>
        <w:rPr>
          <w:rFonts w:hint="eastAsia" w:ascii="宋体" w:hAnsi="宋体" w:cs="宋体"/>
          <w:color w:val="000000"/>
          <w:spacing w:val="-17"/>
          <w:sz w:val="24"/>
          <w:szCs w:val="24"/>
          <w:shd w:val="clear" w:color="auto" w:fill="FFFFFF"/>
          <w:lang w:val="en-US" w:eastAsia="zh-CN"/>
        </w:rPr>
        <w:t>国</w:t>
      </w:r>
      <w:r>
        <w:rPr>
          <w:rFonts w:hint="eastAsia" w:ascii="宋体" w:hAnsi="宋体" w:cs="宋体"/>
          <w:color w:val="000000"/>
          <w:spacing w:val="-17"/>
          <w:sz w:val="24"/>
          <w:szCs w:val="24"/>
          <w:shd w:val="clear" w:color="auto" w:fill="FFFFFF"/>
        </w:rPr>
        <w:t xml:space="preserve">的现状及面临的压力 </w:t>
      </w:r>
    </w:p>
    <w:p w14:paraId="3F6DD9B2">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中国可持续发展的战略与政策 </w:t>
      </w:r>
    </w:p>
    <w:p w14:paraId="74454685">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七、 中国可持续发展的实践 </w:t>
      </w:r>
    </w:p>
    <w:p w14:paraId="20AF59C0">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中国城乡野的可持续发展 </w:t>
      </w:r>
    </w:p>
    <w:p w14:paraId="0212D0C7">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中国的区域可持续发展 </w:t>
      </w:r>
    </w:p>
    <w:p w14:paraId="26E01459">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中国可持续发展展望 </w:t>
      </w:r>
      <w:bookmarkStart w:id="0" w:name="_GoBack"/>
      <w:bookmarkEnd w:id="0"/>
    </w:p>
    <w:p w14:paraId="7D795AB2">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八、 可持续发展的衡量与评价 </w:t>
      </w:r>
    </w:p>
    <w:p w14:paraId="339950A2">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国内可持续发展评价体系 </w:t>
      </w:r>
    </w:p>
    <w:p w14:paraId="1BB714F8">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国际可持续发展指标体系 </w:t>
      </w:r>
    </w:p>
    <w:p w14:paraId="59AC37D2">
      <w:pPr>
        <w:shd w:val="solid" w:color="FFFFFF" w:fill="auto"/>
        <w:rPr>
          <w:rFonts w:ascii="宋体" w:hAnsi="宋体" w:cs="宋体"/>
          <w:bCs/>
          <w:color w:val="000000"/>
          <w:sz w:val="24"/>
          <w:szCs w:val="24"/>
          <w:shd w:val="clear" w:color="auto" w:fill="FFFFFF"/>
        </w:rPr>
      </w:pPr>
      <w:r>
        <w:rPr>
          <w:rFonts w:hint="eastAsia" w:ascii="宋体" w:hAnsi="宋体" w:cs="宋体"/>
          <w:bCs/>
          <w:color w:val="000000"/>
          <w:sz w:val="24"/>
          <w:szCs w:val="24"/>
          <w:shd w:val="clear" w:color="auto" w:fill="FFFFFF"/>
        </w:rPr>
        <w:t xml:space="preserve">九、 迈向人类文明的新时代 </w:t>
      </w:r>
    </w:p>
    <w:p w14:paraId="3EE6694D">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人类文明演替的走向 </w:t>
      </w:r>
    </w:p>
    <w:p w14:paraId="28628C09">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人类文明演替的新动向 </w:t>
      </w:r>
    </w:p>
    <w:p w14:paraId="67A2FFAC">
      <w:pPr>
        <w:numPr>
          <w:ilvl w:val="1"/>
          <w:numId w:val="4"/>
        </w:numPr>
        <w:shd w:val="solid" w:color="FFFFFF" w:fill="auto"/>
        <w:spacing w:before="100" w:after="100"/>
        <w:rPr>
          <w:rFonts w:ascii="宋体" w:hAnsi="宋体" w:cs="宋体"/>
          <w:color w:val="000000"/>
          <w:spacing w:val="-17"/>
          <w:sz w:val="24"/>
          <w:szCs w:val="24"/>
          <w:shd w:val="clear" w:color="auto" w:fill="FFFFFF"/>
        </w:rPr>
      </w:pPr>
      <w:r>
        <w:rPr>
          <w:rFonts w:hint="eastAsia" w:ascii="宋体" w:hAnsi="宋体" w:cs="宋体"/>
          <w:color w:val="000000"/>
          <w:spacing w:val="-17"/>
          <w:sz w:val="24"/>
          <w:szCs w:val="24"/>
          <w:shd w:val="clear" w:color="auto" w:fill="FFFFFF"/>
        </w:rPr>
        <w:t xml:space="preserve">人类文明新时代的中国方案 </w:t>
      </w:r>
    </w:p>
    <w:p w14:paraId="52D4C11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74D72B8F"/>
    <w:multiLevelType w:val="singleLevel"/>
    <w:tmpl w:val="74D72B8F"/>
    <w:lvl w:ilvl="0" w:tentative="0">
      <w:start w:val="1"/>
      <w:numFmt w:val="decimal"/>
      <w:lvlText w:val="[%1]"/>
      <w:lvlJc w:val="left"/>
      <w:pPr>
        <w:tabs>
          <w:tab w:val="left" w:pos="312"/>
        </w:tabs>
      </w:pPr>
    </w:lvl>
  </w:abstractNum>
  <w:abstractNum w:abstractNumId="3">
    <w:nsid w:val="76F86B50"/>
    <w:multiLevelType w:val="multilevel"/>
    <w:tmpl w:val="76F86B50"/>
    <w:lvl w:ilvl="0" w:tentative="0">
      <w:start w:val="1"/>
      <w:numFmt w:val="bullet"/>
      <w:suff w:val="space"/>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Symbol" w:hAnsi="Symbol"/>
      </w:rPr>
    </w:lvl>
    <w:lvl w:ilvl="2" w:tentative="0">
      <w:start w:val="1"/>
      <w:numFmt w:val="bullet"/>
      <w:suff w:val="space"/>
      <w:lvlText w:val=""/>
      <w:lvlJc w:val="left"/>
      <w:pPr>
        <w:tabs>
          <w:tab w:val="left" w:pos="1260"/>
        </w:tabs>
        <w:ind w:left="1260" w:hanging="420"/>
      </w:pPr>
      <w:rPr>
        <w:rFonts w:hint="default" w:ascii="Wingdings" w:hAnsi="Wingdings"/>
      </w:rPr>
    </w:lvl>
    <w:lvl w:ilvl="3" w:tentative="0">
      <w:start w:val="1"/>
      <w:numFmt w:val="bullet"/>
      <w:suff w:val="space"/>
      <w:lvlText w:val=""/>
      <w:lvlJc w:val="left"/>
      <w:pPr>
        <w:tabs>
          <w:tab w:val="left" w:pos="1680"/>
        </w:tabs>
        <w:ind w:left="1680" w:hanging="420"/>
      </w:pPr>
      <w:rPr>
        <w:rFonts w:hint="default" w:ascii="Wingdings" w:hAnsi="Wingdings"/>
      </w:rPr>
    </w:lvl>
    <w:lvl w:ilvl="4" w:tentative="0">
      <w:start w:val="1"/>
      <w:numFmt w:val="bullet"/>
      <w:suff w:val="space"/>
      <w:lvlText w:val=""/>
      <w:lvlJc w:val="left"/>
      <w:pPr>
        <w:tabs>
          <w:tab w:val="left" w:pos="2100"/>
        </w:tabs>
        <w:ind w:left="2100" w:hanging="420"/>
      </w:pPr>
      <w:rPr>
        <w:rFonts w:hint="default" w:ascii="Wingdings" w:hAnsi="Wingdings"/>
      </w:rPr>
    </w:lvl>
    <w:lvl w:ilvl="5" w:tentative="0">
      <w:start w:val="1"/>
      <w:numFmt w:val="bullet"/>
      <w:suff w:val="space"/>
      <w:lvlText w:val=""/>
      <w:lvlJc w:val="left"/>
      <w:pPr>
        <w:tabs>
          <w:tab w:val="left" w:pos="2520"/>
        </w:tabs>
        <w:ind w:left="2520" w:hanging="420"/>
      </w:pPr>
      <w:rPr>
        <w:rFonts w:hint="default" w:ascii="Wingdings" w:hAnsi="Wingdings"/>
      </w:rPr>
    </w:lvl>
    <w:lvl w:ilvl="6" w:tentative="0">
      <w:start w:val="1"/>
      <w:numFmt w:val="bullet"/>
      <w:suff w:val="space"/>
      <w:lvlText w:val=""/>
      <w:lvlJc w:val="left"/>
      <w:pPr>
        <w:tabs>
          <w:tab w:val="left" w:pos="2940"/>
        </w:tabs>
        <w:ind w:left="2940" w:hanging="420"/>
      </w:pPr>
      <w:rPr>
        <w:rFonts w:hint="default" w:ascii="Wingdings" w:hAnsi="Wingdings"/>
      </w:rPr>
    </w:lvl>
    <w:lvl w:ilvl="7" w:tentative="0">
      <w:start w:val="1"/>
      <w:numFmt w:val="bullet"/>
      <w:suff w:val="space"/>
      <w:lvlText w:val=""/>
      <w:lvlJc w:val="left"/>
      <w:pPr>
        <w:tabs>
          <w:tab w:val="left" w:pos="3360"/>
        </w:tabs>
        <w:ind w:left="3360" w:hanging="420"/>
      </w:pPr>
      <w:rPr>
        <w:rFonts w:hint="default" w:ascii="Wingdings" w:hAnsi="Wingdings"/>
      </w:rPr>
    </w:lvl>
    <w:lvl w:ilvl="8" w:tentative="0">
      <w:start w:val="1"/>
      <w:numFmt w:val="bullet"/>
      <w:suff w:val="space"/>
      <w:lvlText w:val=""/>
      <w:lvlJc w:val="left"/>
      <w:pPr>
        <w:tabs>
          <w:tab w:val="left" w:pos="3780"/>
        </w:tabs>
        <w:ind w:left="3780" w:hanging="420"/>
      </w:pPr>
      <w:rPr>
        <w:rFonts w:hint="default" w:ascii="Wingdings" w:hAnsi="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9D41DD9"/>
    <w:rsid w:val="0F2031F8"/>
    <w:rsid w:val="189746FE"/>
    <w:rsid w:val="1E4914E1"/>
    <w:rsid w:val="2C334F53"/>
    <w:rsid w:val="34AB66CA"/>
    <w:rsid w:val="373D5C66"/>
    <w:rsid w:val="40F02470"/>
    <w:rsid w:val="43217136"/>
    <w:rsid w:val="49EB27CF"/>
    <w:rsid w:val="4CDC1173"/>
    <w:rsid w:val="4FA673B0"/>
    <w:rsid w:val="505E5526"/>
    <w:rsid w:val="633A3BD0"/>
    <w:rsid w:val="65E26D67"/>
    <w:rsid w:val="6B1C2C03"/>
    <w:rsid w:val="73947597"/>
    <w:rsid w:val="74DA2B1D"/>
    <w:rsid w:val="77F24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2101</Words>
  <Characters>2136</Characters>
  <Lines>0</Lines>
  <Paragraphs>0</Paragraphs>
  <TotalTime>5</TotalTime>
  <ScaleCrop>false</ScaleCrop>
  <LinksUpToDate>false</LinksUpToDate>
  <CharactersWithSpaces>3026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Administrator</cp:lastModifiedBy>
  <dcterms:modified xsi:type="dcterms:W3CDTF">2026-09-26T09:39:03Z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3F6D5FA214A04DF3BABD3FAB1B6B057D_11</vt:lpwstr>
  </property>
  <property fmtid="{D5CDD505-2E9C-101B-9397-08002B2CF9AE}" pid="4" name="KSOTemplateDocerSaveRecord">
    <vt:lpwstr>eyJoZGlkIjoiMGM1ZWY5NTVjZjg3NTEzNWNhY2YxYTYyMDNmYzkwNWIiLCJ1c2VySWQiOiIyNDcyNTI5NTEifQ==</vt:lpwstr>
  </property>
</Properties>
</file>