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34BD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会计学（120201）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4335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初试：《管理学原理》</w:t>
      </w:r>
    </w:p>
    <w:p w14:paraId="48A5A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（一）名词解释（6题，每题10分，共60分）</w:t>
      </w:r>
    </w:p>
    <w:p w14:paraId="5936F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（二）简答题（3题，共60分）</w:t>
      </w:r>
    </w:p>
    <w:p w14:paraId="1EFA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（三）案例分析（1题，共30分）</w:t>
      </w:r>
    </w:p>
    <w:p w14:paraId="0A4BF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0BD20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519BDED3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ind w:firstLine="640" w:firstLineChars="200"/>
        <w:textAlignment w:val="auto"/>
        <w:rPr>
          <w:color w:val="auto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参考书目：周三多、陈传明、刘子馨、贾定良：《管理学：原理与方法》（第8版），复旦大学出版社，2024年</w:t>
      </w:r>
    </w:p>
    <w:p w14:paraId="43957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A891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0A9D300B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《管理学原理》考试大纲概述：</w:t>
      </w:r>
    </w:p>
    <w:p w14:paraId="797E8795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内容主要包括管理的基本理论、计划、组织、领导、控制等。考查学生对管理基本概念、基本原理、理论框架、管理理论发展和发展趋势的掌握程度；注重考查学生对管理基本原理、重要管理理论的分析和运用能力；考查学生综合运用管理理论分析、思考和解决当前组织管理热点、难点问题的能力。</w:t>
      </w:r>
    </w:p>
    <w:p w14:paraId="7F528A20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一、总论</w:t>
      </w:r>
    </w:p>
    <w:p w14:paraId="7E6E1DAE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管理与管理学</w:t>
      </w:r>
    </w:p>
    <w:p w14:paraId="4354FD55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管理思想的发展</w:t>
      </w:r>
    </w:p>
    <w:p w14:paraId="07BE3048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管理的基本原理</w:t>
      </w:r>
    </w:p>
    <w:p w14:paraId="62EB6124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管理道德与社会责任</w:t>
      </w:r>
    </w:p>
    <w:p w14:paraId="52062163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管理的基本方法</w:t>
      </w:r>
    </w:p>
    <w:p w14:paraId="53D9D639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二、决策</w:t>
      </w:r>
    </w:p>
    <w:p w14:paraId="23E27464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制定决策</w:t>
      </w:r>
    </w:p>
    <w:p w14:paraId="7D1A48F7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计划与计划工作</w:t>
      </w:r>
    </w:p>
    <w:p w14:paraId="1BB25F3A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计划的实施</w:t>
      </w:r>
    </w:p>
    <w:p w14:paraId="46DD0019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三、组织</w:t>
      </w:r>
    </w:p>
    <w:p w14:paraId="6FE7A41D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组织设计</w:t>
      </w:r>
    </w:p>
    <w:p w14:paraId="7241096B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人员配备</w:t>
      </w:r>
    </w:p>
    <w:p w14:paraId="163A0A58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组织力量的整合</w:t>
      </w:r>
    </w:p>
    <w:p w14:paraId="4BC3718E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组织变革与组织文化</w:t>
      </w:r>
    </w:p>
    <w:p w14:paraId="5A7D9363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四、领导</w:t>
      </w:r>
    </w:p>
    <w:p w14:paraId="0D9969D3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领导与领导者</w:t>
      </w:r>
    </w:p>
    <w:p w14:paraId="07F3E94D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激励</w:t>
      </w:r>
    </w:p>
    <w:p w14:paraId="35A64BBB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沟通</w:t>
      </w:r>
    </w:p>
    <w:p w14:paraId="434EEC92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五、控制</w:t>
      </w:r>
    </w:p>
    <w:p w14:paraId="7503136D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控制与控制过程</w:t>
      </w:r>
    </w:p>
    <w:p w14:paraId="428A190B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控制方法</w:t>
      </w:r>
    </w:p>
    <w:p w14:paraId="0C051E24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六、创新</w:t>
      </w:r>
    </w:p>
    <w:p w14:paraId="3EAFF58D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管理的创新职能</w:t>
      </w:r>
    </w:p>
    <w:p w14:paraId="4A00BBF4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企业技术创新</w:t>
      </w:r>
    </w:p>
    <w:p w14:paraId="31EE61B3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企业组织创新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00943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复试笔试：《会计学综合》</w:t>
      </w:r>
    </w:p>
    <w:p w14:paraId="521EC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（一）名词解释（5题，每题3分，共15分）</w:t>
      </w:r>
    </w:p>
    <w:p w14:paraId="2A36C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（二）简答题（3题，每题5分，共15分）</w:t>
      </w:r>
    </w:p>
    <w:p w14:paraId="3BD8F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（三）实务题（4题，每题10分，共40分）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（四）论述题（2题，每题15分，共30分）</w:t>
      </w:r>
    </w:p>
    <w:p w14:paraId="43B9A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711D4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2E3D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刘永泽、陈立军主编：《中级财务会计》第8版，东北财经大学出版社，2024年（出版社联系电话：0411-84710711）</w:t>
      </w:r>
    </w:p>
    <w:p w14:paraId="70F9C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张阳等编著：《财务管理与实务数字应用》第1版，中国时代经济出版社，2024年（出版社联系电话：010-63508258）</w:t>
      </w:r>
    </w:p>
    <w:p w14:paraId="49E07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刘明辉、祁渊、张婷婷主编：《审计》第9版，东北财经大学出版社，2024年（出版社联系电话：0411-84710711）</w:t>
      </w:r>
    </w:p>
    <w:p w14:paraId="48320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69733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同等学力加试科目：1.中级财务会计学（100分）  2 .财务管理（100分）</w:t>
      </w:r>
    </w:p>
    <w:p w14:paraId="7A189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0533B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5AE61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《会计学综合》考试大纲概述：</w:t>
      </w:r>
    </w:p>
    <w:p w14:paraId="48424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内容包括中级财务会计（占50%）、财务管理（占30%）和审计（占20%）三大部分。中级财务会计考查财务会计基本概念、资产、负债、所有者权益、收入、费用和利润的确认和计量，以及财务报告编制的相关理论与方法，测试学生对财务会计基本原理、基本方法的掌握程度和应用分析能力。财务管理考查财务管理内容和目标、货币时间价值、风险与报酬、筹资管理、投资管理、营运资金管理、收益分配、财务报表分析等内容，测试学生对财务管理基本原理、基本方法的掌握程度和应用分析能力。审计主要考查审计基本理论、基本方法和基本技能，包括审计基本概念、审计程序、审计方法、业务循环审计、审计报告等。</w:t>
      </w:r>
    </w:p>
    <w:p w14:paraId="31AA1427">
      <w:pPr>
        <w:widowControl/>
        <w:ind w:firstLine="480"/>
        <w:jc w:val="left"/>
        <w:rPr>
          <w:rFonts w:hint="eastAsia" w:ascii="仿宋_GB2312" w:hAnsi="仿宋_GB2312" w:eastAsia="仿宋_GB2312" w:cs="仿宋_GB2312"/>
          <w:color w:val="000000"/>
          <w:sz w:val="24"/>
          <w:szCs w:val="20"/>
        </w:rPr>
      </w:pPr>
    </w:p>
    <w:p w14:paraId="64D3F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第一部分  中级财务会计</w:t>
      </w:r>
    </w:p>
    <w:p w14:paraId="32CAF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一、财务会计基本概念</w:t>
      </w:r>
    </w:p>
    <w:p w14:paraId="2FDE7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财务会计及其特点</w:t>
      </w:r>
    </w:p>
    <w:p w14:paraId="041ED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会计基本假设和会计确认、计量的基础</w:t>
      </w:r>
    </w:p>
    <w:p w14:paraId="2F2BC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会计确认与计量</w:t>
      </w:r>
    </w:p>
    <w:p w14:paraId="3D996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财务报告要素</w:t>
      </w:r>
    </w:p>
    <w:p w14:paraId="4110B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二、货币资金</w:t>
      </w:r>
    </w:p>
    <w:p w14:paraId="38777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现金</w:t>
      </w:r>
    </w:p>
    <w:p w14:paraId="5ADE1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银行存款</w:t>
      </w:r>
    </w:p>
    <w:p w14:paraId="16709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其他货币资金</w:t>
      </w:r>
    </w:p>
    <w:p w14:paraId="794A0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三、存货</w:t>
      </w:r>
    </w:p>
    <w:p w14:paraId="28B2C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存货及其分类</w:t>
      </w:r>
    </w:p>
    <w:p w14:paraId="6CC8C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存货的初始计量</w:t>
      </w:r>
    </w:p>
    <w:p w14:paraId="6CB72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发出存货的计量</w:t>
      </w:r>
    </w:p>
    <w:p w14:paraId="4A4EB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计划成本法</w:t>
      </w:r>
    </w:p>
    <w:p w14:paraId="47F30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存货的期末计量</w:t>
      </w:r>
    </w:p>
    <w:p w14:paraId="51F2C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存货清查</w:t>
      </w:r>
    </w:p>
    <w:p w14:paraId="69935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四、金融资产</w:t>
      </w:r>
    </w:p>
    <w:p w14:paraId="54A2B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金融资产及其分类</w:t>
      </w:r>
    </w:p>
    <w:p w14:paraId="01BA3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交易性金融资产</w:t>
      </w:r>
    </w:p>
    <w:p w14:paraId="605C7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债权投资</w:t>
      </w:r>
    </w:p>
    <w:p w14:paraId="55EDE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应收款项</w:t>
      </w:r>
    </w:p>
    <w:p w14:paraId="22B6A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其他金融工具投资</w:t>
      </w:r>
    </w:p>
    <w:p w14:paraId="54206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金融资产的重分类</w:t>
      </w:r>
    </w:p>
    <w:p w14:paraId="7962B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金融资产减值</w:t>
      </w:r>
    </w:p>
    <w:p w14:paraId="5A334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五、长期股权投资</w:t>
      </w:r>
    </w:p>
    <w:p w14:paraId="7CF01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长期股权投资的初始计量</w:t>
      </w:r>
    </w:p>
    <w:p w14:paraId="228F3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长期股权投资的后续计量</w:t>
      </w:r>
    </w:p>
    <w:p w14:paraId="6B98E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长期股权投资的转换</w:t>
      </w:r>
    </w:p>
    <w:p w14:paraId="63D45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长期股权投资的处置</w:t>
      </w:r>
    </w:p>
    <w:p w14:paraId="65323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六、固定资产</w:t>
      </w:r>
    </w:p>
    <w:p w14:paraId="52BD4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固定资产概述</w:t>
      </w:r>
    </w:p>
    <w:p w14:paraId="43629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固定资产的初始计量</w:t>
      </w:r>
    </w:p>
    <w:p w14:paraId="38521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固定资产的后续计量</w:t>
      </w:r>
    </w:p>
    <w:p w14:paraId="3F7CE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固定资产的处置</w:t>
      </w:r>
    </w:p>
    <w:p w14:paraId="36500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七、无形资产</w:t>
      </w:r>
    </w:p>
    <w:p w14:paraId="3740D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无形资产概述</w:t>
      </w:r>
    </w:p>
    <w:p w14:paraId="4D7B2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无形资产的初始计量</w:t>
      </w:r>
    </w:p>
    <w:p w14:paraId="08817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内部研究开发费用的确认与计量</w:t>
      </w:r>
    </w:p>
    <w:p w14:paraId="6A487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无形资产的后续计量</w:t>
      </w:r>
    </w:p>
    <w:p w14:paraId="7A0E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无形资产的处置</w:t>
      </w:r>
    </w:p>
    <w:p w14:paraId="23491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八、投资性房地产</w:t>
      </w:r>
    </w:p>
    <w:p w14:paraId="47546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投资性房地产概述</w:t>
      </w:r>
    </w:p>
    <w:p w14:paraId="0BC92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投资性房地产的初始计量</w:t>
      </w:r>
    </w:p>
    <w:p w14:paraId="3F6EF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投资性房地产的后续计量</w:t>
      </w:r>
    </w:p>
    <w:p w14:paraId="1F5F4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投资性房地产的后续支出</w:t>
      </w:r>
    </w:p>
    <w:p w14:paraId="24999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投资性房地产与非投资性房地产的转换</w:t>
      </w:r>
    </w:p>
    <w:p w14:paraId="344E7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投资性房地产的处置</w:t>
      </w:r>
    </w:p>
    <w:p w14:paraId="4141E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九、资产减值</w:t>
      </w:r>
    </w:p>
    <w:p w14:paraId="18471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资产减值概述</w:t>
      </w:r>
    </w:p>
    <w:p w14:paraId="7ACBC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资产可收回金额的计量</w:t>
      </w:r>
    </w:p>
    <w:p w14:paraId="762AC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资产减值损失的确认和计量</w:t>
      </w:r>
    </w:p>
    <w:p w14:paraId="63644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资产组的认定及其减值处理</w:t>
      </w:r>
    </w:p>
    <w:p w14:paraId="1A2A5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商誉减值测试及会计处理</w:t>
      </w:r>
    </w:p>
    <w:p w14:paraId="65483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十、负债</w:t>
      </w:r>
    </w:p>
    <w:p w14:paraId="1DEE5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负债概述</w:t>
      </w:r>
    </w:p>
    <w:p w14:paraId="5C51F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流动负债</w:t>
      </w:r>
    </w:p>
    <w:p w14:paraId="4EE12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非流动负债</w:t>
      </w:r>
    </w:p>
    <w:p w14:paraId="2FCBB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借款费用</w:t>
      </w:r>
    </w:p>
    <w:p w14:paraId="36773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债务重组</w:t>
      </w:r>
    </w:p>
    <w:p w14:paraId="176DD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十一、所有者权益</w:t>
      </w:r>
    </w:p>
    <w:p w14:paraId="6D16E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所有者权益概述</w:t>
      </w:r>
    </w:p>
    <w:p w14:paraId="23A7F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实收资本与其他权益工具</w:t>
      </w:r>
    </w:p>
    <w:p w14:paraId="7EB9D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资本公积与其他综合收益</w:t>
      </w:r>
    </w:p>
    <w:p w14:paraId="3B10E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留存收益</w:t>
      </w:r>
    </w:p>
    <w:p w14:paraId="137AB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十二、费用</w:t>
      </w:r>
    </w:p>
    <w:p w14:paraId="6646F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费用的概念及确认</w:t>
      </w:r>
    </w:p>
    <w:p w14:paraId="4B3C4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生产成本</w:t>
      </w:r>
    </w:p>
    <w:p w14:paraId="63587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期间费用</w:t>
      </w:r>
    </w:p>
    <w:p w14:paraId="53801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十三、收入和利润</w:t>
      </w:r>
    </w:p>
    <w:p w14:paraId="74479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收入</w:t>
      </w:r>
    </w:p>
    <w:p w14:paraId="7A7A9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利润</w:t>
      </w:r>
    </w:p>
    <w:p w14:paraId="4B6E1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所得税</w:t>
      </w:r>
    </w:p>
    <w:p w14:paraId="59CFF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十四、财务报告</w:t>
      </w:r>
    </w:p>
    <w:p w14:paraId="1B7BF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财务报告概述</w:t>
      </w:r>
    </w:p>
    <w:p w14:paraId="7E25F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资产负债表</w:t>
      </w:r>
    </w:p>
    <w:p w14:paraId="12698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利润表</w:t>
      </w:r>
    </w:p>
    <w:p w14:paraId="76488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现金流量表</w:t>
      </w:r>
    </w:p>
    <w:p w14:paraId="586DB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所有者权益变动表</w:t>
      </w:r>
    </w:p>
    <w:p w14:paraId="04DC5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财务报表附注</w:t>
      </w:r>
    </w:p>
    <w:p w14:paraId="14E25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中期财务报告</w:t>
      </w:r>
    </w:p>
    <w:p w14:paraId="4A88D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十五、会计调整</w:t>
      </w:r>
    </w:p>
    <w:p w14:paraId="7FB2D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会计政策及其变更</w:t>
      </w:r>
    </w:p>
    <w:p w14:paraId="0AAF8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会计估计及其变更</w:t>
      </w:r>
    </w:p>
    <w:p w14:paraId="0BEE1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前期差错及其更正</w:t>
      </w:r>
    </w:p>
    <w:p w14:paraId="56A35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资产负债表日后事项</w:t>
      </w:r>
    </w:p>
    <w:p w14:paraId="52BD3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第二部分  财务管理</w:t>
      </w:r>
    </w:p>
    <w:p w14:paraId="28C9F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一、财务管理概念基础</w:t>
      </w:r>
    </w:p>
    <w:p w14:paraId="683E6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企业财务管理内容</w:t>
      </w:r>
    </w:p>
    <w:p w14:paraId="3BF84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企业财务管理目标</w:t>
      </w:r>
    </w:p>
    <w:p w14:paraId="69837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二、财务管理环境</w:t>
      </w:r>
    </w:p>
    <w:p w14:paraId="5D046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微观理财环境</w:t>
      </w:r>
    </w:p>
    <w:p w14:paraId="0CD25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宏观理财环境</w:t>
      </w:r>
    </w:p>
    <w:p w14:paraId="26B8C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三、货币时间价值</w:t>
      </w:r>
    </w:p>
    <w:p w14:paraId="496D0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货币时间价值观念与复利模型</w:t>
      </w:r>
    </w:p>
    <w:p w14:paraId="4B54E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年金模型与商业应用</w:t>
      </w:r>
    </w:p>
    <w:p w14:paraId="132AD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四、风险与报酬 </w:t>
      </w:r>
    </w:p>
    <w:p w14:paraId="6D282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项目投资风险报酬分析</w:t>
      </w:r>
    </w:p>
    <w:p w14:paraId="38E48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证券投资风险报酬分析</w:t>
      </w:r>
    </w:p>
    <w:p w14:paraId="32901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 xml:space="preserve">五、筹资模式与资金成本 </w:t>
      </w:r>
    </w:p>
    <w:p w14:paraId="5C3C5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债务筹资模式与资金成本</w:t>
      </w:r>
    </w:p>
    <w:p w14:paraId="11D50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股权筹资模式与资金成本</w:t>
      </w:r>
    </w:p>
    <w:p w14:paraId="353D1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六、资本结构</w:t>
      </w:r>
    </w:p>
    <w:p w14:paraId="0303B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加权平均资本成本</w:t>
      </w:r>
    </w:p>
    <w:p w14:paraId="5181C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杠杆原理与资本结构决策</w:t>
      </w:r>
    </w:p>
    <w:p w14:paraId="4F7EE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七、固定资产项目投资决策</w:t>
      </w:r>
    </w:p>
    <w:p w14:paraId="0E287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项目投资类型与决策程序</w:t>
      </w:r>
    </w:p>
    <w:p w14:paraId="41787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项目投资的现金流量分析</w:t>
      </w:r>
    </w:p>
    <w:p w14:paraId="45369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项目投资决策的分析方法</w:t>
      </w:r>
    </w:p>
    <w:p w14:paraId="67D1D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八、流动资产项目投资管理</w:t>
      </w:r>
    </w:p>
    <w:p w14:paraId="0E0D3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现金管理</w:t>
      </w:r>
    </w:p>
    <w:p w14:paraId="2B7CE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应收账款管理</w:t>
      </w:r>
    </w:p>
    <w:p w14:paraId="72008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存货管理</w:t>
      </w:r>
    </w:p>
    <w:p w14:paraId="76CDE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九、收益分配</w:t>
      </w:r>
    </w:p>
    <w:p w14:paraId="10DB3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收益分配理论</w:t>
      </w:r>
    </w:p>
    <w:p w14:paraId="6375D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股利政策类型与影响因素</w:t>
      </w:r>
    </w:p>
    <w:p w14:paraId="3ACD1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收益分配方案与程序</w:t>
      </w:r>
    </w:p>
    <w:p w14:paraId="3D90B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股利支付类型</w:t>
      </w:r>
    </w:p>
    <w:p w14:paraId="7519A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第三部分  审计</w:t>
      </w:r>
    </w:p>
    <w:p w14:paraId="74FF6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一、总论</w:t>
      </w:r>
    </w:p>
    <w:p w14:paraId="05229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审计的概念</w:t>
      </w:r>
    </w:p>
    <w:p w14:paraId="1B8AF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审计的产生和发展</w:t>
      </w:r>
    </w:p>
    <w:p w14:paraId="3E085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审计的职能和特征</w:t>
      </w:r>
    </w:p>
    <w:p w14:paraId="60FDF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审计的种类</w:t>
      </w:r>
    </w:p>
    <w:p w14:paraId="0AAA3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二、我国审计的组织形式</w:t>
      </w:r>
    </w:p>
    <w:p w14:paraId="4040C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国家审计机关</w:t>
      </w:r>
    </w:p>
    <w:p w14:paraId="0F4F9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内部审计机构</w:t>
      </w:r>
    </w:p>
    <w:p w14:paraId="7AE30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社会审计组织</w:t>
      </w:r>
    </w:p>
    <w:p w14:paraId="718B2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注册会计师的职业道德和法律责任</w:t>
      </w:r>
    </w:p>
    <w:p w14:paraId="0227A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三、审计准则与审计依据</w:t>
      </w:r>
    </w:p>
    <w:p w14:paraId="464B2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审计准则</w:t>
      </w:r>
    </w:p>
    <w:p w14:paraId="4D452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审计依据</w:t>
      </w:r>
    </w:p>
    <w:p w14:paraId="704E3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四、审计程序与审计方法</w:t>
      </w:r>
    </w:p>
    <w:p w14:paraId="02C78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审计程序</w:t>
      </w:r>
    </w:p>
    <w:p w14:paraId="3BCF9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审计方法</w:t>
      </w:r>
    </w:p>
    <w:p w14:paraId="269F1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抽样技术在审计中的应用</w:t>
      </w:r>
    </w:p>
    <w:p w14:paraId="3F929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信息技术对审计的影响</w:t>
      </w:r>
    </w:p>
    <w:p w14:paraId="75187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五、审计证据与审计工作底稿</w:t>
      </w:r>
    </w:p>
    <w:p w14:paraId="45D8D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审计证据</w:t>
      </w:r>
    </w:p>
    <w:p w14:paraId="29B50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审计工作底稿</w:t>
      </w:r>
    </w:p>
    <w:p w14:paraId="202E3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六、审计计划、重要性与审计风险</w:t>
      </w:r>
    </w:p>
    <w:p w14:paraId="29541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审计计划</w:t>
      </w:r>
    </w:p>
    <w:p w14:paraId="1ADC3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重要性</w:t>
      </w:r>
    </w:p>
    <w:p w14:paraId="0CEBC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审计风险</w:t>
      </w:r>
    </w:p>
    <w:p w14:paraId="4BA21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七、风险评估与风险应对</w:t>
      </w:r>
    </w:p>
    <w:p w14:paraId="25AA8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风险评估程序</w:t>
      </w:r>
    </w:p>
    <w:p w14:paraId="1A29F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了解被审计单位及其内部控制</w:t>
      </w:r>
    </w:p>
    <w:p w14:paraId="56BA6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控制测试</w:t>
      </w:r>
    </w:p>
    <w:p w14:paraId="47DDF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实质性程序</w:t>
      </w:r>
    </w:p>
    <w:p w14:paraId="28F9C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八、业务循环审计</w:t>
      </w:r>
    </w:p>
    <w:p w14:paraId="107FF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销售与收款循环审计</w:t>
      </w:r>
    </w:p>
    <w:p w14:paraId="1792B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采购与付款循环审计</w:t>
      </w:r>
    </w:p>
    <w:p w14:paraId="7376E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生产与存货循环审计</w:t>
      </w:r>
    </w:p>
    <w:p w14:paraId="340E4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筹资与投资循环审计</w:t>
      </w:r>
    </w:p>
    <w:p w14:paraId="21D81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货币资金审计</w:t>
      </w:r>
    </w:p>
    <w:p w14:paraId="7A4D1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九、审计报告</w:t>
      </w:r>
    </w:p>
    <w:p w14:paraId="7AA50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出具审计报告前的工作</w:t>
      </w:r>
    </w:p>
    <w:p w14:paraId="295A0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审计报告概述</w:t>
      </w:r>
    </w:p>
    <w:p w14:paraId="7D1B1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审计意见的形成</w:t>
      </w:r>
    </w:p>
    <w:p w14:paraId="521C9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审计报告的内容</w:t>
      </w:r>
    </w:p>
    <w:p w14:paraId="1E6DA0E5">
      <w:pPr>
        <w:rPr>
          <w:rFonts w:hint="eastAsia" w:eastAsiaTheme="minorEastAsia"/>
          <w:lang w:val="en-US" w:eastAsia="zh-CN"/>
        </w:rPr>
      </w:pPr>
    </w:p>
    <w:p w14:paraId="56CA8513">
      <w:pPr>
        <w:jc w:val="center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          </w:t>
      </w:r>
    </w:p>
    <w:p w14:paraId="52D4C11C">
      <w:pPr>
        <w:jc w:val="center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2023647"/>
    <w:rsid w:val="19E82D37"/>
    <w:rsid w:val="1E4914E1"/>
    <w:rsid w:val="2505038F"/>
    <w:rsid w:val="2C334F53"/>
    <w:rsid w:val="34AB66CA"/>
    <w:rsid w:val="3D6A5ACD"/>
    <w:rsid w:val="3EA05395"/>
    <w:rsid w:val="40F02470"/>
    <w:rsid w:val="4330314B"/>
    <w:rsid w:val="4FA673B0"/>
    <w:rsid w:val="57006251"/>
    <w:rsid w:val="65E26D67"/>
    <w:rsid w:val="6B0E3F68"/>
    <w:rsid w:val="7B0632BE"/>
    <w:rsid w:val="7E7A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2189</Words>
  <Characters>2262</Characters>
  <Lines>0</Lines>
  <Paragraphs>0</Paragraphs>
  <TotalTime>6</TotalTime>
  <ScaleCrop>false</ScaleCrop>
  <LinksUpToDate>false</LinksUpToDate>
  <CharactersWithSpaces>2354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cp:lastPrinted>2026-05-29T08:03:00Z</cp:lastPrinted>
  <dcterms:modified xsi:type="dcterms:W3CDTF">2026-09-27T08:59:08Z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67BBAC8F63DD474FA5513EEEA461D8DA_13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