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EBD3D">
      <w:pPr>
        <w:keepNext w:val="0"/>
        <w:keepLines w:val="0"/>
        <w:pageBreakBefore w:val="0"/>
        <w:widowControl w:val="0"/>
        <w:kinsoku/>
        <w:wordWrap/>
        <w:overflowPunct/>
        <w:topLinePunct w:val="0"/>
        <w:autoSpaceDE/>
        <w:autoSpaceDN/>
        <w:bidi w:val="0"/>
        <w:adjustRightInd/>
        <w:snapToGrid/>
        <w:spacing w:beforeLines="0" w:afterLines="0" w:line="560" w:lineRule="exact"/>
        <w:ind w:firstLine="560" w:firstLineChars="200"/>
        <w:jc w:val="left"/>
        <w:textAlignment w:val="auto"/>
        <w:rPr>
          <w:rFonts w:hint="eastAsia" w:ascii="仿宋_GB2312" w:hAnsi="仿宋_GB2312" w:eastAsia="仿宋_GB2312" w:cs="仿宋_GB2312"/>
          <w:bCs/>
          <w:color w:val="FF0000"/>
          <w:sz w:val="28"/>
          <w:szCs w:val="28"/>
          <w:lang w:val="en-US" w:eastAsia="zh-CN"/>
        </w:rPr>
      </w:pPr>
      <w:r>
        <w:rPr>
          <w:rFonts w:hint="eastAsia" w:ascii="仿宋_GB2312" w:hAnsi="仿宋_GB2312" w:eastAsia="仿宋_GB2312" w:cs="仿宋_GB2312"/>
          <w:bCs/>
          <w:color w:val="FF0000"/>
          <w:sz w:val="28"/>
          <w:szCs w:val="28"/>
          <w:lang w:val="en-US" w:eastAsia="zh-CN"/>
        </w:rPr>
        <w:t xml:space="preserve">            </w:t>
      </w:r>
    </w:p>
    <w:p w14:paraId="56AE3759">
      <w:pPr>
        <w:keepNext w:val="0"/>
        <w:keepLines w:val="0"/>
        <w:pageBreakBefore w:val="0"/>
        <w:widowControl w:val="0"/>
        <w:kinsoku/>
        <w:wordWrap/>
        <w:overflowPunct/>
        <w:topLinePunct w:val="0"/>
        <w:autoSpaceDE/>
        <w:autoSpaceDN/>
        <w:bidi w:val="0"/>
        <w:adjustRightInd/>
        <w:snapToGrid/>
        <w:spacing w:beforeLines="0" w:afterLines="0" w:line="560" w:lineRule="exact"/>
        <w:ind w:firstLine="1044" w:firstLineChars="200"/>
        <w:jc w:val="center"/>
        <w:textAlignment w:val="auto"/>
        <w:rPr>
          <w:rFonts w:hint="eastAsia" w:ascii="方正小标宋简体" w:hAnsi="方正小标宋简体" w:eastAsia="方正小标宋简体" w:cs="方正小标宋简体"/>
          <w:b/>
          <w:bCs w:val="0"/>
          <w:sz w:val="52"/>
          <w:szCs w:val="52"/>
          <w:lang w:val="en-US" w:eastAsia="zh-CN"/>
        </w:rPr>
      </w:pPr>
    </w:p>
    <w:p w14:paraId="34BDC283">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国民经济学（020201）</w:t>
      </w:r>
    </w:p>
    <w:p w14:paraId="5CB8AEC8">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自命题题型及大纲</w:t>
      </w:r>
    </w:p>
    <w:p w14:paraId="27880B6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08225E92">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初试：经济学基础</w:t>
      </w:r>
    </w:p>
    <w:p w14:paraId="00C7E3A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sz w:val="24"/>
          <w:szCs w:val="24"/>
        </w:rPr>
      </w:pPr>
    </w:p>
    <w:p w14:paraId="2A3F69C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一、名词解释  （6题，每题5分，共30分）</w:t>
      </w:r>
    </w:p>
    <w:p w14:paraId="5913339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二、简答题    （6题，每题10分，共60分）</w:t>
      </w:r>
    </w:p>
    <w:p w14:paraId="6BFED037">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三、论述题    （2题，每题30分，共60分）</w:t>
      </w:r>
    </w:p>
    <w:p w14:paraId="0213A4D5">
      <w:pPr>
        <w:spacing w:line="560" w:lineRule="exact"/>
        <w:ind w:firstLine="643" w:firstLineChars="200"/>
        <w:jc w:val="center"/>
        <w:rPr>
          <w:rFonts w:hint="eastAsia" w:ascii="黑体" w:hAnsi="黑体" w:eastAsia="黑体" w:cs="黑体"/>
          <w:b/>
          <w:sz w:val="32"/>
          <w:szCs w:val="32"/>
        </w:rPr>
      </w:pPr>
    </w:p>
    <w:p w14:paraId="6EBDB208">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参考书目：</w:t>
      </w:r>
    </w:p>
    <w:p w14:paraId="094FB700">
      <w:pPr>
        <w:spacing w:line="560" w:lineRule="exact"/>
        <w:rPr>
          <w:rFonts w:hint="eastAsia" w:ascii="宋体" w:hAnsi="宋体" w:eastAsia="宋体" w:cs="宋体"/>
          <w:bCs/>
          <w:sz w:val="24"/>
          <w:szCs w:val="24"/>
        </w:rPr>
      </w:pPr>
      <w:r>
        <w:rPr>
          <w:rFonts w:hint="eastAsia" w:ascii="宋体" w:hAnsi="宋体" w:eastAsia="宋体" w:cs="宋体"/>
          <w:bCs/>
          <w:sz w:val="24"/>
          <w:szCs w:val="24"/>
        </w:rPr>
        <w:t>[1]高鸿业.《西方经济学（宏/微观）》第8版 .中国人民大学出版社，2021年.</w:t>
      </w:r>
    </w:p>
    <w:p w14:paraId="4B729CE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77CCBF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53AD4319">
      <w:pPr>
        <w:widowControl/>
        <w:adjustRightInd w:val="0"/>
        <w:snapToGrid w:val="0"/>
        <w:ind w:firstLine="480"/>
        <w:rPr>
          <w:rFonts w:hint="eastAsia" w:ascii="宋体" w:hAnsi="宋体" w:eastAsia="宋体" w:cs="宋体"/>
          <w:bCs/>
          <w:sz w:val="24"/>
          <w:szCs w:val="24"/>
        </w:rPr>
      </w:pPr>
      <w:r>
        <w:rPr>
          <w:rFonts w:hint="eastAsia" w:ascii="宋体" w:hAnsi="宋体" w:eastAsia="宋体" w:cs="宋体"/>
          <w:bCs/>
          <w:sz w:val="24"/>
          <w:szCs w:val="24"/>
        </w:rPr>
        <w:t>内容主要包括价格理论，消费者行为理论（效用理论），生产理论，成本理论，竞争市场理论，国民收入决定理论，产品与货币市场均衡理论，宏观经济政策分析，失业与通货膨胀理论等。测试学生对微观经济学和宏观经济学的基本原理、基本工具和方法的掌握程度，了解其是否具有初步应用这些基本原理和基本方法分析有关问题的能力。</w:t>
      </w:r>
    </w:p>
    <w:p w14:paraId="32152BFC">
      <w:pPr>
        <w:widowControl/>
        <w:snapToGrid w:val="0"/>
        <w:rPr>
          <w:rFonts w:hint="eastAsia" w:ascii="宋体" w:hAnsi="宋体" w:cs="宋体"/>
          <w:b/>
          <w:bCs/>
          <w:color w:val="000000"/>
          <w:sz w:val="24"/>
          <w:szCs w:val="24"/>
          <w:shd w:val="clear" w:color="auto" w:fill="FFFFFF"/>
        </w:rPr>
      </w:pPr>
    </w:p>
    <w:p w14:paraId="481450C5">
      <w:pPr>
        <w:widowControl/>
        <w:snapToGrid w:val="0"/>
        <w:rPr>
          <w:rFonts w:hint="eastAsia" w:ascii="宋体" w:hAnsi="宋体" w:cs="宋体"/>
          <w:color w:val="000000"/>
          <w:sz w:val="24"/>
          <w:szCs w:val="24"/>
          <w:shd w:val="clear" w:color="auto" w:fill="FFFFFF"/>
        </w:rPr>
      </w:pPr>
      <w:r>
        <w:rPr>
          <w:rFonts w:hint="eastAsia" w:ascii="宋体" w:hAnsi="宋体" w:cs="宋体"/>
          <w:b/>
          <w:bCs/>
          <w:color w:val="000000"/>
          <w:sz w:val="24"/>
          <w:szCs w:val="24"/>
          <w:shd w:val="clear" w:color="auto" w:fill="FFFFFF"/>
        </w:rPr>
        <w:t>第一部分  微观经济理论</w:t>
      </w:r>
    </w:p>
    <w:p w14:paraId="75E2EB29">
      <w:pPr>
        <w:widowControl/>
        <w:snapToGrid w:val="0"/>
        <w:outlineLvl w:val="0"/>
        <w:rPr>
          <w:rFonts w:hint="eastAsia" w:ascii="宋体" w:hAnsi="宋体" w:cs="宋体"/>
          <w:color w:val="000000"/>
          <w:sz w:val="24"/>
          <w:szCs w:val="24"/>
          <w:shd w:val="clear" w:color="auto" w:fill="FFFFFF"/>
        </w:rPr>
      </w:pPr>
      <w:r>
        <w:rPr>
          <w:rFonts w:hint="eastAsia" w:ascii="宋体" w:hAnsi="宋体" w:cs="宋体"/>
          <w:bCs/>
          <w:color w:val="000000"/>
          <w:sz w:val="24"/>
          <w:szCs w:val="24"/>
          <w:shd w:val="clear" w:color="auto" w:fill="FFFFFF"/>
        </w:rPr>
        <w:t>一、需求、供给与价格理论</w:t>
      </w:r>
    </w:p>
    <w:p w14:paraId="7E73BF32">
      <w:pPr>
        <w:numPr>
          <w:ilvl w:val="0"/>
          <w:numId w:val="1"/>
        </w:numPr>
        <w:shd w:val="solid" w:color="FFFFFF" w:fill="auto"/>
        <w:autoSpaceDN w:val="0"/>
        <w:rPr>
          <w:rFonts w:hint="eastAsia"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需求理论</w:t>
      </w:r>
    </w:p>
    <w:p w14:paraId="6F7C661A">
      <w:p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pacing w:val="-13"/>
          <w:sz w:val="24"/>
          <w:szCs w:val="24"/>
          <w:shd w:val="clear" w:color="auto" w:fill="FFFFFF"/>
        </w:rPr>
        <w:t xml:space="preserve">     </w:t>
      </w:r>
      <w:r>
        <w:rPr>
          <w:rFonts w:hint="eastAsia" w:ascii="宋体" w:hAnsi="宋体" w:cs="宋体"/>
          <w:color w:val="000000"/>
          <w:sz w:val="24"/>
          <w:szCs w:val="24"/>
          <w:shd w:val="clear" w:color="auto" w:fill="FFFFFF"/>
        </w:rPr>
        <w:t>需求、需求表、需求曲线与需求规律      影响需求的因素：需求函数</w:t>
      </w:r>
    </w:p>
    <w:p w14:paraId="346647F6">
      <w:p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需求定理                              需求量的变动与需求的变动</w:t>
      </w:r>
    </w:p>
    <w:p w14:paraId="31E083B0">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供给理论</w:t>
      </w:r>
    </w:p>
    <w:p w14:paraId="5047049B">
      <w:p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pacing w:val="-13"/>
          <w:sz w:val="24"/>
          <w:szCs w:val="24"/>
          <w:shd w:val="clear" w:color="auto" w:fill="FFFFFF"/>
        </w:rPr>
        <w:t xml:space="preserve">    </w:t>
      </w:r>
      <w:r>
        <w:rPr>
          <w:rFonts w:hint="eastAsia" w:ascii="宋体" w:hAnsi="宋体" w:cs="宋体"/>
          <w:color w:val="000000"/>
          <w:sz w:val="24"/>
          <w:szCs w:val="24"/>
          <w:shd w:val="clear" w:color="auto" w:fill="FFFFFF"/>
        </w:rPr>
        <w:t xml:space="preserve"> 供给、供给表、供给曲线                影响供给的因素：供给函数</w:t>
      </w:r>
    </w:p>
    <w:p w14:paraId="16F64296">
      <w:p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供给定理                              供给量的变动与供给的变动</w:t>
      </w:r>
    </w:p>
    <w:p w14:paraId="733A168D">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价格的决定</w:t>
      </w:r>
    </w:p>
    <w:p w14:paraId="767C3CE3">
      <w:pPr>
        <w:shd w:val="solid" w:color="FFFFFF" w:fill="auto"/>
        <w:autoSpaceDN w:val="0"/>
        <w:ind w:firstLine="48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均衡价格含义及形成                    需求与供给变动对均衡的影响</w:t>
      </w:r>
    </w:p>
    <w:p w14:paraId="39507860">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需求价格弹性</w:t>
      </w:r>
    </w:p>
    <w:p w14:paraId="5E08A6E7">
      <w:pPr>
        <w:shd w:val="solid" w:color="FFFFFF" w:fill="auto"/>
        <w:autoSpaceDN w:val="0"/>
        <w:ind w:firstLine="48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需求价格弹性的含义与分类              影响需求弹性的因素</w:t>
      </w:r>
    </w:p>
    <w:p w14:paraId="0E8A2DBD">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弹性理论的运用：需求弹性与总收益</w:t>
      </w:r>
    </w:p>
    <w:p w14:paraId="57A18C0B">
      <w:pPr>
        <w:shd w:val="solid" w:color="FFFFFF" w:fill="auto"/>
        <w:autoSpaceDN w:val="0"/>
        <w:outlineLvl w:val="0"/>
        <w:rPr>
          <w:rFonts w:hint="eastAsia" w:ascii="宋体" w:hAnsi="宋体" w:cs="宋体"/>
          <w:color w:val="000000"/>
          <w:sz w:val="24"/>
          <w:szCs w:val="24"/>
          <w:shd w:val="clear" w:color="auto" w:fill="FFFFFF"/>
        </w:rPr>
      </w:pPr>
      <w:r>
        <w:rPr>
          <w:rFonts w:hint="eastAsia" w:ascii="宋体" w:hAnsi="宋体" w:cs="宋体"/>
          <w:bCs/>
          <w:color w:val="000000"/>
          <w:sz w:val="24"/>
          <w:szCs w:val="24"/>
          <w:shd w:val="clear" w:color="auto" w:fill="FFFFFF"/>
        </w:rPr>
        <w:t>二、消费者行为理论（效用理论）</w:t>
      </w:r>
    </w:p>
    <w:p w14:paraId="6B036BF6">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效用</w:t>
      </w:r>
    </w:p>
    <w:p w14:paraId="204524E0">
      <w:p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基数效用论与序数效用论     总效用与边际效用      边际效用递减规律</w:t>
      </w:r>
    </w:p>
    <w:p w14:paraId="6E04E412">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序数效用论</w:t>
      </w:r>
    </w:p>
    <w:p w14:paraId="2DAF8C4D">
      <w:p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无差异曲线及特征           消费可能线（预算线）   消费者均衡</w:t>
      </w:r>
    </w:p>
    <w:p w14:paraId="60154550">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消费者行为理论的运用</w:t>
      </w:r>
    </w:p>
    <w:p w14:paraId="45750C2F">
      <w:p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消费者剩余                    消费者行为与需求定理</w:t>
      </w:r>
    </w:p>
    <w:p w14:paraId="799F200B">
      <w:pPr>
        <w:shd w:val="solid" w:color="FFFFFF" w:fill="auto"/>
        <w:autoSpaceDN w:val="0"/>
        <w:outlineLvl w:val="0"/>
        <w:rPr>
          <w:rFonts w:hint="eastAsia" w:ascii="宋体" w:hAnsi="宋体" w:cs="宋体"/>
          <w:b/>
          <w:bCs/>
          <w:color w:val="000000"/>
          <w:sz w:val="24"/>
          <w:szCs w:val="24"/>
          <w:shd w:val="clear" w:color="auto" w:fill="FFFFFF"/>
        </w:rPr>
      </w:pPr>
      <w:r>
        <w:rPr>
          <w:rFonts w:hint="eastAsia" w:ascii="宋体" w:hAnsi="宋体" w:cs="宋体"/>
          <w:bCs/>
          <w:color w:val="000000"/>
          <w:sz w:val="24"/>
          <w:szCs w:val="24"/>
          <w:shd w:val="clear" w:color="auto" w:fill="FFFFFF"/>
        </w:rPr>
        <w:t>三、生产理论</w:t>
      </w:r>
    </w:p>
    <w:p w14:paraId="16966560">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生产要素与生产函数</w:t>
      </w:r>
    </w:p>
    <w:p w14:paraId="5AE618A4">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边际收益递减规律</w:t>
      </w:r>
    </w:p>
    <w:p w14:paraId="3281532E">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总产量、平均产量、边际产量的关系</w:t>
      </w:r>
    </w:p>
    <w:p w14:paraId="075CE1D6">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等产量线与等成本线</w:t>
      </w:r>
    </w:p>
    <w:p w14:paraId="6F769951">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规模报酬</w:t>
      </w:r>
    </w:p>
    <w:p w14:paraId="3B7BE611">
      <w:pPr>
        <w:shd w:val="solid" w:color="FFFFFF" w:fill="auto"/>
        <w:autoSpaceDN w:val="0"/>
        <w:outlineLvl w:val="0"/>
        <w:rPr>
          <w:rFonts w:hint="eastAsia" w:ascii="宋体" w:hAnsi="宋体" w:cs="宋体"/>
          <w:bCs/>
          <w:color w:val="000000"/>
          <w:sz w:val="24"/>
          <w:szCs w:val="24"/>
          <w:shd w:val="clear" w:color="auto" w:fill="FFFFFF"/>
        </w:rPr>
      </w:pPr>
      <w:r>
        <w:rPr>
          <w:rFonts w:hint="eastAsia" w:ascii="宋体" w:hAnsi="宋体" w:cs="宋体"/>
          <w:bCs/>
          <w:color w:val="000000"/>
          <w:sz w:val="24"/>
          <w:szCs w:val="24"/>
          <w:shd w:val="clear" w:color="auto" w:fill="FFFFFF"/>
        </w:rPr>
        <w:t>四、成本与收益理论</w:t>
      </w:r>
    </w:p>
    <w:p w14:paraId="1288254D">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成本</w:t>
      </w:r>
    </w:p>
    <w:p w14:paraId="353023DA">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会计成本与机会成本             机会成本在企业决策中的作用</w:t>
      </w:r>
    </w:p>
    <w:p w14:paraId="08EFB79D">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短期成本</w:t>
      </w:r>
    </w:p>
    <w:p w14:paraId="0028AB35">
      <w:p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短期成本的分类                 各类短期成本的变动规律及其关系</w:t>
      </w:r>
    </w:p>
    <w:p w14:paraId="225D1426">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长期成本</w:t>
      </w:r>
    </w:p>
    <w:p w14:paraId="66806672">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长期总成本                     长期平均成本          长期边际成本</w:t>
      </w:r>
    </w:p>
    <w:p w14:paraId="715D705D">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收益与利润最大化</w:t>
      </w:r>
    </w:p>
    <w:p w14:paraId="045CE9F7">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总收益、平均收益与边际收益     利润最大化原则</w:t>
      </w:r>
    </w:p>
    <w:p w14:paraId="5D65B01F">
      <w:pPr>
        <w:shd w:val="solid" w:color="FFFFFF" w:fill="auto"/>
        <w:autoSpaceDN w:val="0"/>
        <w:outlineLvl w:val="0"/>
        <w:rPr>
          <w:rFonts w:hint="eastAsia" w:ascii="宋体" w:hAnsi="宋体" w:cs="宋体"/>
          <w:b/>
          <w:bCs/>
          <w:color w:val="000000"/>
          <w:sz w:val="24"/>
          <w:szCs w:val="24"/>
          <w:shd w:val="clear" w:color="auto" w:fill="FFFFFF"/>
        </w:rPr>
      </w:pPr>
      <w:r>
        <w:rPr>
          <w:rFonts w:hint="eastAsia" w:ascii="宋体" w:hAnsi="宋体" w:cs="宋体"/>
          <w:bCs/>
          <w:color w:val="000000"/>
          <w:sz w:val="24"/>
          <w:szCs w:val="24"/>
          <w:shd w:val="clear" w:color="auto" w:fill="FFFFFF"/>
        </w:rPr>
        <w:t>五、竞争市场理论</w:t>
      </w:r>
    </w:p>
    <w:p w14:paraId="599CCBEF">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市场结构</w:t>
      </w:r>
    </w:p>
    <w:p w14:paraId="1AE39F11">
      <w:p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市场结构类型                   市场结构与企业行为的关系</w:t>
      </w:r>
    </w:p>
    <w:p w14:paraId="27BEF8E6">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完全竞争市场</w:t>
      </w:r>
    </w:p>
    <w:p w14:paraId="08158404">
      <w:p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完全竞争市场含义与特征     完全竞争市场需求曲线、平均收益与边际收益</w:t>
      </w:r>
    </w:p>
    <w:p w14:paraId="5A04DBEB">
      <w:p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利润最大化的基本原则       完全竞争市场上的短期均衡与长期均衡</w:t>
      </w:r>
    </w:p>
    <w:p w14:paraId="6539AA52">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非完全竞争市场</w:t>
      </w:r>
    </w:p>
    <w:p w14:paraId="5E6974EF">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完全垄断、垄断竞争和寡头垄断市场的条件及其特征</w:t>
      </w:r>
    </w:p>
    <w:p w14:paraId="0E7A0B45">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完全垄断厂商的需求曲线、平均收益与边际收益</w:t>
      </w:r>
    </w:p>
    <w:p w14:paraId="18108F16">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垄断市场上的短期均衡与长期均衡（了解）</w:t>
      </w:r>
    </w:p>
    <w:p w14:paraId="11B3CBEC">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垄断竞争与完全竞争的比较</w:t>
      </w:r>
    </w:p>
    <w:p w14:paraId="2A216FF1">
      <w:p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垄断竞争市场上的产品差别竞争    </w:t>
      </w:r>
    </w:p>
    <w:p w14:paraId="6448AD35">
      <w:pPr>
        <w:shd w:val="solid" w:color="FFFFFF" w:fill="auto"/>
        <w:autoSpaceDN w:val="0"/>
        <w:rPr>
          <w:rFonts w:hint="eastAsia" w:ascii="宋体" w:hAnsi="宋体" w:cs="宋体"/>
          <w:b/>
          <w:bCs/>
          <w:color w:val="000000"/>
          <w:sz w:val="24"/>
          <w:szCs w:val="24"/>
          <w:shd w:val="clear" w:color="auto" w:fill="FFFFFF"/>
        </w:rPr>
      </w:pPr>
    </w:p>
    <w:p w14:paraId="57443B6A">
      <w:p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b/>
          <w:bCs/>
          <w:color w:val="000000"/>
          <w:sz w:val="24"/>
          <w:szCs w:val="24"/>
          <w:shd w:val="clear" w:color="auto" w:fill="FFFFFF"/>
        </w:rPr>
        <w:t>第二部分  宏观经济理论</w:t>
      </w:r>
    </w:p>
    <w:p w14:paraId="2F3C0442">
      <w:pPr>
        <w:shd w:val="solid" w:color="FFFFFF" w:fill="auto"/>
        <w:autoSpaceDN w:val="0"/>
        <w:outlineLvl w:val="0"/>
        <w:rPr>
          <w:rFonts w:hint="eastAsia" w:ascii="宋体" w:hAnsi="宋体" w:cs="宋体"/>
          <w:color w:val="000000"/>
          <w:sz w:val="24"/>
          <w:szCs w:val="24"/>
          <w:shd w:val="clear" w:color="auto" w:fill="FFFFFF"/>
        </w:rPr>
      </w:pPr>
      <w:r>
        <w:rPr>
          <w:rFonts w:hint="eastAsia" w:ascii="宋体" w:hAnsi="宋体" w:cs="宋体"/>
          <w:bCs/>
          <w:color w:val="000000"/>
          <w:sz w:val="24"/>
          <w:szCs w:val="24"/>
          <w:shd w:val="clear" w:color="auto" w:fill="FFFFFF"/>
        </w:rPr>
        <w:t>一、国民收入决定理论</w:t>
      </w:r>
    </w:p>
    <w:p w14:paraId="68CA144D">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国内生产总值</w:t>
      </w:r>
    </w:p>
    <w:p w14:paraId="09E10026">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国内生产总值的含义                       </w:t>
      </w:r>
    </w:p>
    <w:p w14:paraId="26344D7D">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国内生产总值的计算方法</w:t>
      </w:r>
    </w:p>
    <w:p w14:paraId="7CB5C4F1">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实际国内生产总值与名义国内生产总值      </w:t>
      </w:r>
    </w:p>
    <w:p w14:paraId="2C8489B8">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国内生产总值与人均国内生产总值</w:t>
      </w:r>
    </w:p>
    <w:p w14:paraId="08DB6D7D">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消费函数、储蓄函数</w:t>
      </w:r>
    </w:p>
    <w:p w14:paraId="182FC4A7">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乘数理论</w:t>
      </w:r>
    </w:p>
    <w:p w14:paraId="42DC318A">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其他宏观经济指标（了解）</w:t>
      </w:r>
    </w:p>
    <w:p w14:paraId="4B39E48B">
      <w:pPr>
        <w:shd w:val="solid" w:color="FFFFFF" w:fill="auto"/>
        <w:autoSpaceDN w:val="0"/>
        <w:ind w:firstLine="48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物价指数                       失业率</w:t>
      </w:r>
    </w:p>
    <w:p w14:paraId="02A5B588">
      <w:pPr>
        <w:shd w:val="solid" w:color="FFFFFF" w:fill="auto"/>
        <w:autoSpaceDN w:val="0"/>
        <w:outlineLvl w:val="0"/>
        <w:rPr>
          <w:rFonts w:hint="eastAsia" w:ascii="宋体" w:hAnsi="宋体" w:cs="宋体"/>
          <w:color w:val="000000"/>
          <w:sz w:val="24"/>
          <w:szCs w:val="24"/>
          <w:shd w:val="clear" w:color="auto" w:fill="FFFFFF"/>
        </w:rPr>
      </w:pPr>
      <w:r>
        <w:rPr>
          <w:rFonts w:hint="eastAsia" w:ascii="宋体" w:hAnsi="宋体" w:cs="宋体"/>
          <w:bCs/>
          <w:color w:val="000000"/>
          <w:sz w:val="24"/>
          <w:szCs w:val="24"/>
          <w:shd w:val="clear" w:color="auto" w:fill="FFFFFF"/>
        </w:rPr>
        <w:t>二、产品市场和货币市场的一般均衡理论</w:t>
      </w:r>
    </w:p>
    <w:p w14:paraId="34004101">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投资的决定</w:t>
      </w:r>
    </w:p>
    <w:p w14:paraId="2C6C4B6A">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实际利率与投资                  边际效率</w:t>
      </w:r>
    </w:p>
    <w:p w14:paraId="639D5466">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投资边际效率曲线                预期收益与投资</w:t>
      </w:r>
    </w:p>
    <w:p w14:paraId="1ED4BA42">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商品市场的均衡（IS）曲线</w:t>
      </w:r>
    </w:p>
    <w:p w14:paraId="20ECB8EC">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货币市场的均衡（LM）曲线</w:t>
      </w:r>
    </w:p>
    <w:p w14:paraId="4C40BD17">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利率的决定</w:t>
      </w:r>
    </w:p>
    <w:p w14:paraId="57CF8B83">
      <w:pPr>
        <w:shd w:val="solid" w:color="FFFFFF" w:fill="auto"/>
        <w:autoSpaceDN w:val="0"/>
        <w:outlineLvl w:val="0"/>
        <w:rPr>
          <w:rFonts w:hint="eastAsia" w:ascii="宋体" w:hAnsi="宋体" w:cs="宋体"/>
          <w:b/>
          <w:bCs/>
          <w:color w:val="000000"/>
          <w:sz w:val="24"/>
          <w:szCs w:val="24"/>
          <w:shd w:val="clear" w:color="auto" w:fill="FFFFFF"/>
        </w:rPr>
      </w:pPr>
      <w:r>
        <w:rPr>
          <w:rFonts w:hint="eastAsia" w:ascii="宋体" w:hAnsi="宋体" w:cs="宋体"/>
          <w:bCs/>
          <w:color w:val="000000"/>
          <w:sz w:val="24"/>
          <w:szCs w:val="24"/>
          <w:shd w:val="clear" w:color="auto" w:fill="FFFFFF"/>
        </w:rPr>
        <w:t xml:space="preserve">三、宏观经济政策分析 </w:t>
      </w:r>
    </w:p>
    <w:p w14:paraId="1CCD742C">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财政政策和货币政策的影响</w:t>
      </w:r>
    </w:p>
    <w:p w14:paraId="483AFB87">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财政政策                         货币政策</w:t>
      </w:r>
    </w:p>
    <w:p w14:paraId="2A0CB740">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财政政策和货币政策的影响         财政政策和货币政策的混合使用</w:t>
      </w:r>
    </w:p>
    <w:p w14:paraId="309E429D">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经济政策目标</w:t>
      </w:r>
    </w:p>
    <w:p w14:paraId="45AD1F85">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充分就业                         价格稳定 </w:t>
      </w:r>
    </w:p>
    <w:p w14:paraId="026538B1">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经济持续均衡增长                 国际收支平衡。</w:t>
      </w:r>
    </w:p>
    <w:p w14:paraId="013AE64E">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财政政策</w:t>
      </w:r>
    </w:p>
    <w:p w14:paraId="314E8649">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财政政策工具                     自动稳定与相机抉择的财政政策</w:t>
      </w:r>
    </w:p>
    <w:p w14:paraId="0887D29D">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功能财政和预算盈余               充分就业预算盈余与财政政策方向</w:t>
      </w:r>
    </w:p>
    <w:p w14:paraId="224D30ED">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货币政策</w:t>
      </w:r>
    </w:p>
    <w:p w14:paraId="27954F71">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商业银行和中央银行               存款创造和货币供给</w:t>
      </w:r>
    </w:p>
    <w:p w14:paraId="09DF7BC2">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债券价格与市场利息率的关系       货币政策及其工具</w:t>
      </w:r>
    </w:p>
    <w:p w14:paraId="3020A9B3">
      <w:pPr>
        <w:shd w:val="solid" w:color="FFFFFF" w:fill="auto"/>
        <w:autoSpaceDN w:val="0"/>
        <w:outlineLvl w:val="0"/>
        <w:rPr>
          <w:rFonts w:hint="eastAsia" w:ascii="宋体" w:hAnsi="宋体" w:cs="宋体"/>
          <w:b/>
          <w:bCs/>
          <w:color w:val="000000"/>
          <w:sz w:val="24"/>
          <w:szCs w:val="24"/>
          <w:shd w:val="clear" w:color="auto" w:fill="FFFFFF"/>
        </w:rPr>
      </w:pPr>
      <w:r>
        <w:rPr>
          <w:rFonts w:hint="eastAsia" w:ascii="宋体" w:hAnsi="宋体" w:cs="宋体"/>
          <w:bCs/>
          <w:color w:val="000000"/>
          <w:sz w:val="24"/>
          <w:szCs w:val="24"/>
          <w:shd w:val="clear" w:color="auto" w:fill="FFFFFF"/>
        </w:rPr>
        <w:t>四、失业、通货膨胀理论</w:t>
      </w:r>
    </w:p>
    <w:p w14:paraId="28624F40">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失业理论</w:t>
      </w:r>
    </w:p>
    <w:p w14:paraId="6CDA58C9">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失业的分类                       自然失业率和自然就业率  </w:t>
      </w:r>
    </w:p>
    <w:p w14:paraId="1D6B4324">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失业的影响                       奥肯定律</w:t>
      </w:r>
    </w:p>
    <w:p w14:paraId="4DDC1715">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通货膨胀理论</w:t>
      </w:r>
    </w:p>
    <w:p w14:paraId="1BAA450F">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通货膨胀的含义与分类             通货膨胀对经济的影响  </w:t>
      </w:r>
    </w:p>
    <w:p w14:paraId="3217380A">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通货膨胀的原因                   需求拉动的通货膨胀理论    </w:t>
      </w:r>
    </w:p>
    <w:p w14:paraId="3BA52A08">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供给推动的通货膨胀理论           其他通货膨胀理论</w:t>
      </w:r>
    </w:p>
    <w:p w14:paraId="2FE8A252">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治理通货膨胀的对策</w:t>
      </w:r>
    </w:p>
    <w:p w14:paraId="76403313">
      <w:pPr>
        <w:numPr>
          <w:ilvl w:val="0"/>
          <w:numId w:val="2"/>
        </w:numPr>
        <w:shd w:val="solid" w:color="FFFFFF" w:fill="auto"/>
        <w:autoSpaceDN w:val="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菲利普斯曲线</w:t>
      </w:r>
    </w:p>
    <w:p w14:paraId="1AC15ADD">
      <w:pPr>
        <w:shd w:val="solid" w:color="FFFFFF" w:fill="auto"/>
        <w:autoSpaceDN w:val="0"/>
        <w:ind w:left="42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菲利普斯曲线的提出               菲利普斯曲线的政策含义</w:t>
      </w:r>
    </w:p>
    <w:p w14:paraId="4EB75374">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sz w:val="32"/>
          <w:szCs w:val="32"/>
          <w:lang w:val="en-US" w:eastAsia="zh-CN"/>
        </w:rPr>
      </w:pPr>
    </w:p>
    <w:p w14:paraId="70539C7C">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sz w:val="32"/>
          <w:szCs w:val="32"/>
          <w:lang w:val="en-US" w:eastAsia="zh-CN"/>
        </w:rPr>
      </w:pPr>
    </w:p>
    <w:p w14:paraId="7C019CAF">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sz w:val="32"/>
          <w:szCs w:val="32"/>
          <w:lang w:val="en-US" w:eastAsia="zh-CN"/>
        </w:rPr>
      </w:pPr>
    </w:p>
    <w:p w14:paraId="2861AFE6">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sz w:val="32"/>
          <w:szCs w:val="32"/>
          <w:lang w:val="en-US" w:eastAsia="zh-CN"/>
        </w:rPr>
      </w:pPr>
    </w:p>
    <w:p w14:paraId="49086BF5">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sz w:val="32"/>
          <w:szCs w:val="32"/>
          <w:lang w:val="en-US" w:eastAsia="zh-CN"/>
        </w:rPr>
      </w:pPr>
    </w:p>
    <w:p w14:paraId="6C4BDAE9">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sz w:val="32"/>
          <w:szCs w:val="32"/>
          <w:lang w:val="en-US" w:eastAsia="zh-CN"/>
        </w:rPr>
      </w:pPr>
    </w:p>
    <w:p w14:paraId="1D97CDA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复试笔试：《财政与金融》</w:t>
      </w:r>
    </w:p>
    <w:p w14:paraId="16D0814F">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jc w:val="both"/>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一、问答题（5题，每题10分，共50分）</w:t>
      </w:r>
    </w:p>
    <w:p w14:paraId="4E7B57CB">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jc w:val="both"/>
        <w:textAlignment w:val="auto"/>
        <w:rPr>
          <w:rFonts w:hint="eastAsia" w:ascii="宋体" w:hAnsi="宋体" w:eastAsia="宋体" w:cs="宋体"/>
          <w:b/>
          <w:bCs w:val="0"/>
          <w:sz w:val="24"/>
          <w:szCs w:val="24"/>
          <w:lang w:val="en-US" w:eastAsia="zh-CN"/>
        </w:rPr>
      </w:pPr>
      <w:r>
        <w:rPr>
          <w:rFonts w:hint="eastAsia" w:ascii="宋体" w:hAnsi="宋体" w:eastAsia="宋体" w:cs="宋体"/>
          <w:bCs/>
          <w:sz w:val="24"/>
          <w:szCs w:val="24"/>
          <w:lang w:val="en-US" w:eastAsia="zh-CN"/>
        </w:rPr>
        <w:t>二、论述题（2题，每题25分，共50分）</w:t>
      </w:r>
    </w:p>
    <w:p w14:paraId="3CD7CDE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194864E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rPr>
          <w:rFonts w:hint="eastAsia" w:ascii="黑体" w:hAnsi="黑体" w:eastAsia="黑体" w:cs="黑体"/>
          <w:b/>
          <w:bCs w:val="0"/>
          <w:sz w:val="32"/>
          <w:szCs w:val="32"/>
          <w:lang w:val="en-US" w:eastAsia="zh-CN"/>
        </w:rPr>
      </w:pPr>
      <w:r>
        <w:rPr>
          <w:rFonts w:hint="eastAsia" w:ascii="宋体" w:hAnsi="宋体" w:cs="宋体" w:eastAsiaTheme="minorEastAsia"/>
          <w:b w:val="0"/>
          <w:bCs w:val="0"/>
          <w:color w:val="000000"/>
          <w:kern w:val="2"/>
          <w:sz w:val="24"/>
          <w:szCs w:val="24"/>
          <w:shd w:val="clear" w:color="auto" w:fill="FFFFFF"/>
          <w:lang w:val="en-US" w:eastAsia="zh-CN" w:bidi="ar-SA"/>
        </w:rPr>
        <w:t>《</w:t>
      </w:r>
      <w:r>
        <w:rPr>
          <w:rFonts w:hint="default" w:ascii="宋体" w:hAnsi="宋体" w:cs="宋体" w:eastAsiaTheme="minorEastAsia"/>
          <w:b w:val="0"/>
          <w:bCs w:val="0"/>
          <w:color w:val="000000"/>
          <w:kern w:val="2"/>
          <w:sz w:val="24"/>
          <w:szCs w:val="24"/>
          <w:shd w:val="clear" w:color="auto" w:fill="FFFFFF"/>
          <w:lang w:val="en-US" w:eastAsia="zh-CN" w:bidi="ar-SA"/>
        </w:rPr>
        <w:t>现代财政与金融教程（第四版）</w:t>
      </w:r>
      <w:r>
        <w:rPr>
          <w:rFonts w:hint="eastAsia" w:ascii="宋体" w:hAnsi="宋体" w:cs="宋体" w:eastAsiaTheme="minorEastAsia"/>
          <w:b w:val="0"/>
          <w:bCs w:val="0"/>
          <w:color w:val="000000"/>
          <w:kern w:val="2"/>
          <w:sz w:val="24"/>
          <w:szCs w:val="24"/>
          <w:shd w:val="clear" w:color="auto" w:fill="FFFFFF"/>
          <w:lang w:val="en-US" w:eastAsia="zh-CN" w:bidi="ar-SA"/>
        </w:rPr>
        <w:t>》，</w:t>
      </w:r>
      <w:r>
        <w:rPr>
          <w:rFonts w:hint="eastAsia" w:ascii="宋体" w:hAnsi="宋体" w:cs="宋体" w:eastAsiaTheme="minorEastAsia"/>
          <w:b w:val="0"/>
          <w:bCs w:val="0"/>
          <w:color w:val="000000"/>
          <w:kern w:val="2"/>
          <w:sz w:val="24"/>
          <w:szCs w:val="24"/>
          <w:shd w:val="clear" w:color="auto" w:fill="FFFFFF"/>
          <w:lang w:val="en-US" w:eastAsia="zh-CN" w:bidi="ar-SA"/>
        </w:rPr>
        <w:fldChar w:fldCharType="begin"/>
      </w:r>
      <w:r>
        <w:rPr>
          <w:rFonts w:hint="eastAsia" w:ascii="宋体" w:hAnsi="宋体" w:cs="宋体" w:eastAsiaTheme="minorEastAsia"/>
          <w:b w:val="0"/>
          <w:bCs w:val="0"/>
          <w:color w:val="000000"/>
          <w:kern w:val="2"/>
          <w:sz w:val="24"/>
          <w:szCs w:val="24"/>
          <w:shd w:val="clear" w:color="auto" w:fill="FFFFFF"/>
          <w:lang w:val="en-US" w:eastAsia="zh-CN" w:bidi="ar-SA"/>
        </w:rPr>
        <w:instrText xml:space="preserve"> HYPERLINK "http://search.dangdang.com/?key2=%D1%EE%D1%DE%C1%D5&amp;medium=01&amp;category_path=01.00.00.00.00.00" \t "https://product.dangdang.com/_blank" </w:instrText>
      </w:r>
      <w:r>
        <w:rPr>
          <w:rFonts w:hint="eastAsia" w:ascii="宋体" w:hAnsi="宋体" w:cs="宋体" w:eastAsiaTheme="minorEastAsia"/>
          <w:b w:val="0"/>
          <w:bCs w:val="0"/>
          <w:color w:val="000000"/>
          <w:kern w:val="2"/>
          <w:sz w:val="24"/>
          <w:szCs w:val="24"/>
          <w:shd w:val="clear" w:color="auto" w:fill="FFFFFF"/>
          <w:lang w:val="en-US" w:eastAsia="zh-CN" w:bidi="ar-SA"/>
        </w:rPr>
        <w:fldChar w:fldCharType="separate"/>
      </w:r>
      <w:r>
        <w:rPr>
          <w:rFonts w:hint="default" w:ascii="宋体" w:hAnsi="宋体" w:cs="宋体" w:eastAsiaTheme="minorEastAsia"/>
          <w:b w:val="0"/>
          <w:bCs w:val="0"/>
          <w:color w:val="000000"/>
          <w:kern w:val="2"/>
          <w:sz w:val="24"/>
          <w:szCs w:val="24"/>
          <w:shd w:val="clear" w:color="auto" w:fill="FFFFFF"/>
          <w:lang w:val="en-US" w:eastAsia="zh-CN" w:bidi="ar-SA"/>
        </w:rPr>
        <w:t>杨艳琳</w:t>
      </w:r>
      <w:r>
        <w:rPr>
          <w:rFonts w:hint="default" w:ascii="宋体" w:hAnsi="宋体" w:cs="宋体" w:eastAsiaTheme="minorEastAsia"/>
          <w:b w:val="0"/>
          <w:bCs w:val="0"/>
          <w:color w:val="000000"/>
          <w:kern w:val="2"/>
          <w:sz w:val="24"/>
          <w:szCs w:val="24"/>
          <w:shd w:val="clear" w:color="auto" w:fill="FFFFFF"/>
          <w:lang w:val="en-US" w:eastAsia="zh-CN" w:bidi="ar-SA"/>
        </w:rPr>
        <w:fldChar w:fldCharType="end"/>
      </w:r>
      <w:r>
        <w:rPr>
          <w:rFonts w:hint="default" w:ascii="宋体" w:hAnsi="宋体" w:cs="宋体" w:eastAsiaTheme="minorEastAsia"/>
          <w:b w:val="0"/>
          <w:bCs w:val="0"/>
          <w:color w:val="000000"/>
          <w:kern w:val="2"/>
          <w:sz w:val="24"/>
          <w:szCs w:val="24"/>
          <w:shd w:val="clear" w:color="auto" w:fill="FFFFFF"/>
          <w:lang w:val="en-US" w:eastAsia="zh-CN" w:bidi="ar-SA"/>
        </w:rPr>
        <w:t>，</w:t>
      </w:r>
      <w:r>
        <w:rPr>
          <w:rFonts w:hint="default" w:ascii="宋体" w:hAnsi="宋体" w:cs="宋体" w:eastAsiaTheme="minorEastAsia"/>
          <w:b w:val="0"/>
          <w:bCs w:val="0"/>
          <w:color w:val="000000"/>
          <w:kern w:val="2"/>
          <w:sz w:val="24"/>
          <w:szCs w:val="24"/>
          <w:shd w:val="clear" w:color="auto" w:fill="FFFFFF"/>
          <w:lang w:val="en-US" w:eastAsia="zh-CN" w:bidi="ar-SA"/>
        </w:rPr>
        <w:fldChar w:fldCharType="begin"/>
      </w:r>
      <w:r>
        <w:rPr>
          <w:rFonts w:hint="default" w:ascii="宋体" w:hAnsi="宋体" w:cs="宋体" w:eastAsiaTheme="minorEastAsia"/>
          <w:b w:val="0"/>
          <w:bCs w:val="0"/>
          <w:color w:val="000000"/>
          <w:kern w:val="2"/>
          <w:sz w:val="24"/>
          <w:szCs w:val="24"/>
          <w:shd w:val="clear" w:color="auto" w:fill="FFFFFF"/>
          <w:lang w:val="en-US" w:eastAsia="zh-CN" w:bidi="ar-SA"/>
        </w:rPr>
        <w:instrText xml:space="preserve"> HYPERLINK "http://search.dangdang.com/?key2=%B3%C2%D2%F8%B6%F0&amp;medium=01&amp;category_path=01.00.00.00.00.00" \t "https://product.dangdang.com/_blank" </w:instrText>
      </w:r>
      <w:r>
        <w:rPr>
          <w:rFonts w:hint="default" w:ascii="宋体" w:hAnsi="宋体" w:cs="宋体" w:eastAsiaTheme="minorEastAsia"/>
          <w:b w:val="0"/>
          <w:bCs w:val="0"/>
          <w:color w:val="000000"/>
          <w:kern w:val="2"/>
          <w:sz w:val="24"/>
          <w:szCs w:val="24"/>
          <w:shd w:val="clear" w:color="auto" w:fill="FFFFFF"/>
          <w:lang w:val="en-US" w:eastAsia="zh-CN" w:bidi="ar-SA"/>
        </w:rPr>
        <w:fldChar w:fldCharType="separate"/>
      </w:r>
      <w:r>
        <w:rPr>
          <w:rFonts w:hint="default" w:ascii="宋体" w:hAnsi="宋体" w:cs="宋体" w:eastAsiaTheme="minorEastAsia"/>
          <w:b w:val="0"/>
          <w:bCs w:val="0"/>
          <w:color w:val="000000"/>
          <w:kern w:val="2"/>
          <w:sz w:val="24"/>
          <w:szCs w:val="24"/>
          <w:shd w:val="clear" w:color="auto" w:fill="FFFFFF"/>
          <w:lang w:val="en-US" w:eastAsia="zh-CN" w:bidi="ar-SA"/>
        </w:rPr>
        <w:t>陈银娥</w:t>
      </w:r>
      <w:r>
        <w:rPr>
          <w:rFonts w:hint="default" w:ascii="宋体" w:hAnsi="宋体" w:cs="宋体" w:eastAsiaTheme="minorEastAsia"/>
          <w:b w:val="0"/>
          <w:bCs w:val="0"/>
          <w:color w:val="000000"/>
          <w:kern w:val="2"/>
          <w:sz w:val="24"/>
          <w:szCs w:val="24"/>
          <w:shd w:val="clear" w:color="auto" w:fill="FFFFFF"/>
          <w:lang w:val="en-US" w:eastAsia="zh-CN" w:bidi="ar-SA"/>
        </w:rPr>
        <w:fldChar w:fldCharType="end"/>
      </w:r>
      <w:r>
        <w:rPr>
          <w:rFonts w:hint="eastAsia" w:cs="宋体" w:eastAsiaTheme="minorEastAsia"/>
          <w:b w:val="0"/>
          <w:bCs w:val="0"/>
          <w:color w:val="000000"/>
          <w:kern w:val="2"/>
          <w:sz w:val="24"/>
          <w:szCs w:val="24"/>
          <w:shd w:val="clear" w:color="auto" w:fill="FFFFFF"/>
          <w:lang w:val="en-US" w:eastAsia="zh-CN" w:bidi="ar-SA"/>
        </w:rPr>
        <w:t>主编</w:t>
      </w:r>
      <w:r>
        <w:rPr>
          <w:rFonts w:hint="eastAsia" w:ascii="宋体" w:hAnsi="宋体" w:cs="宋体" w:eastAsiaTheme="minorEastAsia"/>
          <w:b w:val="0"/>
          <w:bCs w:val="0"/>
          <w:color w:val="000000"/>
          <w:kern w:val="2"/>
          <w:sz w:val="24"/>
          <w:szCs w:val="24"/>
          <w:shd w:val="clear" w:color="auto" w:fill="FFFFFF"/>
          <w:lang w:val="en-US" w:eastAsia="zh-CN" w:bidi="ar-SA"/>
        </w:rPr>
        <w:t>，</w:t>
      </w:r>
      <w:r>
        <w:rPr>
          <w:rFonts w:hint="eastAsia" w:cs="宋体" w:eastAsiaTheme="minorEastAsia"/>
          <w:b w:val="0"/>
          <w:bCs w:val="0"/>
          <w:color w:val="000000"/>
          <w:kern w:val="2"/>
          <w:sz w:val="24"/>
          <w:szCs w:val="24"/>
          <w:shd w:val="clear" w:color="auto" w:fill="FFFFFF"/>
          <w:lang w:val="en-US" w:eastAsia="zh-CN" w:bidi="ar-SA"/>
        </w:rPr>
        <w:t>首都经贸大学</w:t>
      </w:r>
      <w:r>
        <w:rPr>
          <w:rFonts w:hint="eastAsia" w:ascii="宋体" w:hAnsi="宋体" w:cs="宋体" w:eastAsiaTheme="minorEastAsia"/>
          <w:b w:val="0"/>
          <w:bCs w:val="0"/>
          <w:color w:val="000000"/>
          <w:kern w:val="2"/>
          <w:sz w:val="24"/>
          <w:szCs w:val="24"/>
          <w:shd w:val="clear" w:color="auto" w:fill="FFFFFF"/>
          <w:lang w:val="en-US" w:eastAsia="zh-CN" w:bidi="ar-SA"/>
        </w:rPr>
        <w:t>出版社20</w:t>
      </w:r>
      <w:r>
        <w:rPr>
          <w:rFonts w:hint="eastAsia" w:cs="宋体" w:eastAsiaTheme="minorEastAsia"/>
          <w:b w:val="0"/>
          <w:bCs w:val="0"/>
          <w:color w:val="000000"/>
          <w:kern w:val="2"/>
          <w:sz w:val="24"/>
          <w:szCs w:val="24"/>
          <w:shd w:val="clear" w:color="auto" w:fill="FFFFFF"/>
          <w:lang w:val="en-US" w:eastAsia="zh-CN" w:bidi="ar-SA"/>
        </w:rPr>
        <w:t>20</w:t>
      </w:r>
      <w:r>
        <w:rPr>
          <w:rFonts w:hint="eastAsia" w:ascii="宋体" w:hAnsi="宋体" w:cs="宋体" w:eastAsiaTheme="minorEastAsia"/>
          <w:b w:val="0"/>
          <w:bCs w:val="0"/>
          <w:color w:val="000000"/>
          <w:kern w:val="2"/>
          <w:sz w:val="24"/>
          <w:szCs w:val="24"/>
          <w:shd w:val="clear" w:color="auto" w:fill="FFFFFF"/>
          <w:lang w:val="en-US" w:eastAsia="zh-CN" w:bidi="ar-SA"/>
        </w:rPr>
        <w:t>年出版。</w:t>
      </w:r>
    </w:p>
    <w:p w14:paraId="6BA8BFF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7E59A8C8">
      <w:pPr>
        <w:adjustRightInd w:val="0"/>
        <w:snapToGrid w:val="0"/>
        <w:ind w:firstLine="120" w:firstLineChars="50"/>
        <w:rPr>
          <w:rFonts w:hint="eastAsia" w:ascii="宋体" w:hAnsi="宋体"/>
          <w:color w:val="000000"/>
          <w:sz w:val="24"/>
        </w:rPr>
      </w:pPr>
      <w:r>
        <w:rPr>
          <w:rFonts w:hint="eastAsia" w:ascii="宋体" w:hAnsi="宋体"/>
          <w:color w:val="000000"/>
          <w:sz w:val="24"/>
        </w:rPr>
        <w:t xml:space="preserve"> 掌握财政、金融领域的基本知识、基本原理和</w:t>
      </w:r>
      <w:r>
        <w:rPr>
          <w:rFonts w:ascii="宋体" w:hAnsi="宋体"/>
          <w:color w:val="000000"/>
          <w:sz w:val="24"/>
        </w:rPr>
        <w:t>和相关实务。财政部分</w:t>
      </w:r>
      <w:r>
        <w:rPr>
          <w:rFonts w:hint="eastAsia" w:ascii="宋体" w:hAnsi="宋体"/>
          <w:color w:val="000000"/>
          <w:sz w:val="24"/>
        </w:rPr>
        <w:t>需掌握</w:t>
      </w:r>
      <w:r>
        <w:rPr>
          <w:rFonts w:ascii="宋体" w:hAnsi="宋体"/>
          <w:color w:val="000000"/>
          <w:sz w:val="24"/>
        </w:rPr>
        <w:t>财政的产生与发展、公共财政理论、财政的职能与作用、财政支出、财政收入、公债、</w:t>
      </w:r>
      <w:r>
        <w:rPr>
          <w:rFonts w:ascii="宋体" w:hAnsi="宋体"/>
          <w:color w:val="000000"/>
          <w:sz w:val="24"/>
        </w:rPr>
        <w:fldChar w:fldCharType="begin"/>
      </w:r>
      <w:r>
        <w:rPr>
          <w:rFonts w:ascii="宋体" w:hAnsi="宋体"/>
          <w:color w:val="000000"/>
          <w:sz w:val="24"/>
        </w:rPr>
        <w:instrText xml:space="preserve"> HYPERLINK "http://baike.baidu.com/view/7257951.htm" \t "_blank" </w:instrText>
      </w:r>
      <w:r>
        <w:rPr>
          <w:rFonts w:ascii="宋体" w:hAnsi="宋体"/>
          <w:color w:val="000000"/>
          <w:sz w:val="24"/>
        </w:rPr>
        <w:fldChar w:fldCharType="separate"/>
      </w:r>
      <w:r>
        <w:rPr>
          <w:rFonts w:ascii="宋体" w:hAnsi="宋体"/>
          <w:color w:val="000000"/>
          <w:sz w:val="24"/>
        </w:rPr>
        <w:t>国家预算管理</w:t>
      </w:r>
      <w:r>
        <w:rPr>
          <w:rFonts w:ascii="宋体" w:hAnsi="宋体"/>
          <w:color w:val="000000"/>
          <w:sz w:val="24"/>
        </w:rPr>
        <w:fldChar w:fldCharType="end"/>
      </w:r>
      <w:r>
        <w:rPr>
          <w:rFonts w:ascii="宋体" w:hAnsi="宋体"/>
          <w:color w:val="000000"/>
          <w:sz w:val="24"/>
        </w:rPr>
        <w:t>等；金融部分</w:t>
      </w:r>
      <w:r>
        <w:rPr>
          <w:rFonts w:hint="eastAsia" w:ascii="宋体" w:hAnsi="宋体"/>
          <w:color w:val="000000"/>
          <w:sz w:val="24"/>
        </w:rPr>
        <w:t>需掌握</w:t>
      </w:r>
      <w:r>
        <w:rPr>
          <w:rFonts w:ascii="宋体" w:hAnsi="宋体"/>
          <w:color w:val="000000"/>
          <w:sz w:val="24"/>
        </w:rPr>
        <w:fldChar w:fldCharType="begin"/>
      </w:r>
      <w:r>
        <w:rPr>
          <w:rFonts w:ascii="宋体" w:hAnsi="宋体"/>
          <w:color w:val="000000"/>
          <w:sz w:val="24"/>
        </w:rPr>
        <w:instrText xml:space="preserve"> HYPERLINK "http://baike.baidu.com/view/6340339.htm" \t "_blank" </w:instrText>
      </w:r>
      <w:r>
        <w:rPr>
          <w:rFonts w:ascii="宋体" w:hAnsi="宋体"/>
          <w:color w:val="000000"/>
          <w:sz w:val="24"/>
        </w:rPr>
        <w:fldChar w:fldCharType="separate"/>
      </w:r>
      <w:r>
        <w:rPr>
          <w:rFonts w:ascii="宋体" w:hAnsi="宋体"/>
          <w:color w:val="000000"/>
          <w:sz w:val="24"/>
        </w:rPr>
        <w:t>金融基础</w:t>
      </w:r>
      <w:r>
        <w:rPr>
          <w:rFonts w:ascii="宋体" w:hAnsi="宋体"/>
          <w:color w:val="000000"/>
          <w:sz w:val="24"/>
        </w:rPr>
        <w:fldChar w:fldCharType="end"/>
      </w:r>
      <w:r>
        <w:rPr>
          <w:rFonts w:ascii="宋体" w:hAnsi="宋体"/>
          <w:color w:val="000000"/>
          <w:sz w:val="24"/>
        </w:rPr>
        <w:t>、信用、利率、货币的供给与需求、金融机构体系、商业银行、</w:t>
      </w:r>
      <w:r>
        <w:rPr>
          <w:rFonts w:ascii="宋体" w:hAnsi="宋体"/>
          <w:color w:val="000000"/>
          <w:sz w:val="24"/>
        </w:rPr>
        <w:fldChar w:fldCharType="begin"/>
      </w:r>
      <w:r>
        <w:rPr>
          <w:rFonts w:ascii="宋体" w:hAnsi="宋体"/>
          <w:color w:val="000000"/>
          <w:sz w:val="24"/>
        </w:rPr>
        <w:instrText xml:space="preserve"> HYPERLINK "http://baike.baidu.com/view/16681.htm" \t "_blank" </w:instrText>
      </w:r>
      <w:r>
        <w:rPr>
          <w:rFonts w:ascii="宋体" w:hAnsi="宋体"/>
          <w:color w:val="000000"/>
          <w:sz w:val="24"/>
        </w:rPr>
        <w:fldChar w:fldCharType="separate"/>
      </w:r>
      <w:r>
        <w:rPr>
          <w:rFonts w:ascii="宋体" w:hAnsi="宋体"/>
          <w:color w:val="000000"/>
          <w:sz w:val="24"/>
        </w:rPr>
        <w:t>金融市场</w:t>
      </w:r>
      <w:r>
        <w:rPr>
          <w:rFonts w:ascii="宋体" w:hAnsi="宋体"/>
          <w:color w:val="000000"/>
          <w:sz w:val="24"/>
        </w:rPr>
        <w:fldChar w:fldCharType="end"/>
      </w:r>
      <w:r>
        <w:rPr>
          <w:rFonts w:ascii="宋体" w:hAnsi="宋体"/>
          <w:color w:val="000000"/>
          <w:sz w:val="24"/>
        </w:rPr>
        <w:t>、国际金融</w:t>
      </w:r>
      <w:r>
        <w:rPr>
          <w:rFonts w:hint="eastAsia" w:ascii="宋体" w:hAnsi="宋体"/>
          <w:color w:val="000000"/>
          <w:sz w:val="24"/>
        </w:rPr>
        <w:t>、</w:t>
      </w:r>
      <w:r>
        <w:rPr>
          <w:rFonts w:ascii="宋体" w:hAnsi="宋体"/>
          <w:color w:val="000000"/>
          <w:sz w:val="24"/>
        </w:rPr>
        <w:t>财政与金融的宏观调控等问题。</w:t>
      </w:r>
    </w:p>
    <w:p w14:paraId="558E1D00">
      <w:pPr>
        <w:pStyle w:val="4"/>
        <w:spacing w:before="0" w:beforeAutospacing="0" w:after="0" w:afterAutospacing="0"/>
        <w:outlineLvl w:val="0"/>
        <w:rPr>
          <w:rFonts w:hint="eastAsia" w:ascii="Verdana" w:hAnsi="Verdana"/>
          <w:b/>
          <w:color w:val="333333"/>
          <w:shd w:val="clear" w:color="auto" w:fill="FFFFFF"/>
        </w:rPr>
      </w:pPr>
      <w:r>
        <w:rPr>
          <w:rFonts w:ascii="Verdana" w:hAnsi="Verdana"/>
          <w:b/>
          <w:color w:val="333333"/>
          <w:shd w:val="clear" w:color="auto" w:fill="FFFFFF"/>
        </w:rPr>
        <w:t>一</w:t>
      </w:r>
      <w:r>
        <w:rPr>
          <w:rFonts w:hint="eastAsia" w:ascii="Verdana" w:hAnsi="Verdana"/>
          <w:b/>
          <w:color w:val="333333"/>
          <w:shd w:val="clear" w:color="auto" w:fill="FFFFFF"/>
        </w:rPr>
        <w:t>、财</w:t>
      </w:r>
      <w:r>
        <w:rPr>
          <w:rFonts w:ascii="Verdana" w:hAnsi="Verdana"/>
          <w:b/>
          <w:color w:val="333333"/>
          <w:shd w:val="clear" w:color="auto" w:fill="FFFFFF"/>
        </w:rPr>
        <w:t>政概述</w:t>
      </w:r>
    </w:p>
    <w:p w14:paraId="0F2C5661">
      <w:pPr>
        <w:pStyle w:val="4"/>
        <w:spacing w:before="0" w:beforeAutospacing="0" w:after="0" w:afterAutospacing="0"/>
        <w:rPr>
          <w:rFonts w:hint="eastAsia" w:ascii="Verdana" w:hAnsi="Verdana"/>
          <w:color w:val="333333"/>
          <w:shd w:val="clear" w:color="auto" w:fill="FFFFFF"/>
        </w:rPr>
      </w:pPr>
      <w:r>
        <w:rPr>
          <w:rFonts w:hint="eastAsia" w:ascii="Verdana" w:hAnsi="Verdana"/>
          <w:color w:val="333333"/>
          <w:shd w:val="clear" w:color="auto" w:fill="FFFFFF"/>
        </w:rPr>
        <w:t xml:space="preserve">    </w:t>
      </w:r>
      <w:r>
        <w:rPr>
          <w:rFonts w:ascii="Verdana" w:hAnsi="Verdana"/>
          <w:color w:val="333333"/>
          <w:shd w:val="clear" w:color="auto" w:fill="FFFFFF"/>
        </w:rPr>
        <w:t>财政的产生与发展</w:t>
      </w:r>
    </w:p>
    <w:p w14:paraId="6EFA2E36">
      <w:pPr>
        <w:pStyle w:val="4"/>
        <w:spacing w:before="0" w:beforeAutospacing="0" w:after="0" w:afterAutospacing="0"/>
        <w:rPr>
          <w:rFonts w:hint="eastAsia" w:ascii="Verdana" w:hAnsi="Verdana"/>
          <w:color w:val="333333"/>
          <w:shd w:val="clear" w:color="auto" w:fill="FFFFFF"/>
        </w:rPr>
      </w:pPr>
      <w:r>
        <w:rPr>
          <w:rFonts w:hint="eastAsia" w:ascii="Verdana" w:hAnsi="Verdana"/>
          <w:color w:val="333333"/>
          <w:shd w:val="clear" w:color="auto" w:fill="FFFFFF"/>
        </w:rPr>
        <w:t xml:space="preserve">    </w:t>
      </w:r>
      <w:r>
        <w:rPr>
          <w:rFonts w:ascii="Verdana" w:hAnsi="Verdana"/>
          <w:color w:val="333333"/>
          <w:shd w:val="clear" w:color="auto" w:fill="FFFFFF"/>
        </w:rPr>
        <w:t>公共财政</w:t>
      </w:r>
    </w:p>
    <w:p w14:paraId="2FCF7996">
      <w:pPr>
        <w:pStyle w:val="4"/>
        <w:spacing w:before="0" w:beforeAutospacing="0" w:after="0" w:afterAutospacing="0"/>
        <w:rPr>
          <w:rFonts w:hint="eastAsia" w:ascii="Verdana" w:hAnsi="Verdana"/>
          <w:color w:val="333333"/>
          <w:shd w:val="clear" w:color="auto" w:fill="FFFFFF"/>
        </w:rPr>
      </w:pPr>
      <w:r>
        <w:rPr>
          <w:rFonts w:hint="eastAsia" w:ascii="Verdana" w:hAnsi="Verdana"/>
          <w:color w:val="333333"/>
          <w:shd w:val="clear" w:color="auto" w:fill="FFFFFF"/>
        </w:rPr>
        <w:t xml:space="preserve">    </w:t>
      </w:r>
      <w:r>
        <w:rPr>
          <w:rFonts w:ascii="Verdana" w:hAnsi="Verdana"/>
          <w:color w:val="333333"/>
          <w:shd w:val="clear" w:color="auto" w:fill="FFFFFF"/>
        </w:rPr>
        <w:t>财政的职能</w:t>
      </w:r>
    </w:p>
    <w:p w14:paraId="6D6BA864">
      <w:pPr>
        <w:pStyle w:val="4"/>
        <w:spacing w:before="0" w:beforeAutospacing="0" w:after="0" w:afterAutospacing="0"/>
        <w:outlineLvl w:val="0"/>
        <w:rPr>
          <w:rFonts w:hint="eastAsia" w:ascii="Verdana" w:hAnsi="Verdana"/>
          <w:color w:val="333333"/>
        </w:rPr>
      </w:pPr>
      <w:r>
        <w:rPr>
          <w:rFonts w:ascii="Verdana" w:hAnsi="Verdana"/>
          <w:b/>
          <w:color w:val="333333"/>
          <w:shd w:val="clear" w:color="auto" w:fill="FFFFFF"/>
        </w:rPr>
        <w:t>二</w:t>
      </w:r>
      <w:r>
        <w:rPr>
          <w:rFonts w:hint="eastAsia" w:ascii="Verdana" w:hAnsi="Verdana"/>
          <w:b/>
          <w:color w:val="333333"/>
          <w:shd w:val="clear" w:color="auto" w:fill="FFFFFF"/>
        </w:rPr>
        <w:t>、</w:t>
      </w:r>
      <w:r>
        <w:rPr>
          <w:rFonts w:ascii="Verdana" w:hAnsi="Verdana"/>
          <w:b/>
          <w:color w:val="333333"/>
          <w:shd w:val="clear" w:color="auto" w:fill="FFFFFF"/>
        </w:rPr>
        <w:t>财政支出</w:t>
      </w:r>
      <w:r>
        <w:rPr>
          <w:rFonts w:ascii="Verdana" w:hAnsi="Verdana"/>
          <w:b/>
          <w:color w:val="333333"/>
        </w:rPr>
        <w:br w:type="textWrapping"/>
      </w:r>
      <w:r>
        <w:rPr>
          <w:rFonts w:hint="eastAsia" w:ascii="Verdana" w:hAnsi="Verdana"/>
          <w:color w:val="333333"/>
        </w:rPr>
        <w:t xml:space="preserve">    </w:t>
      </w:r>
      <w:r>
        <w:rPr>
          <w:rFonts w:ascii="Verdana" w:hAnsi="Verdana"/>
          <w:color w:val="333333"/>
          <w:shd w:val="clear" w:color="auto" w:fill="FFFFFF"/>
        </w:rPr>
        <w:t>财政支出的分类与构成</w:t>
      </w:r>
    </w:p>
    <w:p w14:paraId="3F42E743">
      <w:pPr>
        <w:pStyle w:val="4"/>
        <w:spacing w:before="0" w:beforeAutospacing="0" w:after="0" w:afterAutospacing="0"/>
        <w:rPr>
          <w:rFonts w:hint="eastAsia" w:ascii="Verdana" w:hAnsi="Verdana"/>
          <w:color w:val="333333"/>
        </w:rPr>
      </w:pPr>
      <w:r>
        <w:rPr>
          <w:rFonts w:hint="eastAsia" w:ascii="Verdana" w:hAnsi="Verdana"/>
          <w:color w:val="333333"/>
        </w:rPr>
        <w:t xml:space="preserve">    </w:t>
      </w:r>
      <w:r>
        <w:rPr>
          <w:rFonts w:ascii="Verdana" w:hAnsi="Verdana"/>
          <w:color w:val="333333"/>
          <w:shd w:val="clear" w:color="auto" w:fill="FFFFFF"/>
        </w:rPr>
        <w:t>财政支出的基本原则</w:t>
      </w:r>
    </w:p>
    <w:p w14:paraId="5B112A7D">
      <w:pPr>
        <w:pStyle w:val="4"/>
        <w:spacing w:before="0" w:beforeAutospacing="0" w:after="0" w:afterAutospacing="0"/>
        <w:rPr>
          <w:rFonts w:hint="eastAsia" w:ascii="Verdana" w:hAnsi="Verdana"/>
          <w:color w:val="333333"/>
        </w:rPr>
      </w:pPr>
      <w:r>
        <w:rPr>
          <w:rFonts w:hint="eastAsia" w:ascii="Verdana" w:hAnsi="Verdana"/>
          <w:color w:val="333333"/>
        </w:rPr>
        <w:t xml:space="preserve">    </w:t>
      </w:r>
      <w:r>
        <w:rPr>
          <w:rFonts w:ascii="Verdana" w:hAnsi="Verdana"/>
          <w:color w:val="333333"/>
          <w:shd w:val="clear" w:color="auto" w:fill="FFFFFF"/>
        </w:rPr>
        <w:t>购买性支出</w:t>
      </w:r>
    </w:p>
    <w:p w14:paraId="6A2E706B">
      <w:pPr>
        <w:pStyle w:val="4"/>
        <w:spacing w:before="0" w:beforeAutospacing="0" w:after="0" w:afterAutospacing="0"/>
        <w:ind w:firstLine="480"/>
        <w:rPr>
          <w:rFonts w:hint="eastAsia" w:ascii="Verdana" w:hAnsi="Verdana"/>
          <w:color w:val="333333"/>
        </w:rPr>
      </w:pPr>
      <w:r>
        <w:rPr>
          <w:rFonts w:ascii="Verdana" w:hAnsi="Verdana"/>
          <w:color w:val="333333"/>
          <w:shd w:val="clear" w:color="auto" w:fill="FFFFFF"/>
        </w:rPr>
        <w:t>转移性支出</w:t>
      </w:r>
    </w:p>
    <w:p w14:paraId="18E63F3D">
      <w:pPr>
        <w:pStyle w:val="4"/>
        <w:spacing w:before="0" w:beforeAutospacing="0" w:after="0" w:afterAutospacing="0"/>
        <w:outlineLvl w:val="0"/>
        <w:rPr>
          <w:rFonts w:hint="eastAsia" w:ascii="Verdana" w:hAnsi="Verdana"/>
          <w:b/>
          <w:color w:val="333333"/>
          <w:shd w:val="clear" w:color="auto" w:fill="FFFFFF"/>
        </w:rPr>
      </w:pPr>
      <w:r>
        <w:rPr>
          <w:rFonts w:ascii="Verdana" w:hAnsi="Verdana"/>
          <w:b/>
          <w:color w:val="333333"/>
          <w:shd w:val="clear" w:color="auto" w:fill="FFFFFF"/>
        </w:rPr>
        <w:t>三</w:t>
      </w:r>
      <w:r>
        <w:rPr>
          <w:rFonts w:hint="eastAsia" w:ascii="Verdana" w:hAnsi="Verdana"/>
          <w:b/>
          <w:color w:val="333333"/>
          <w:shd w:val="clear" w:color="auto" w:fill="FFFFFF"/>
        </w:rPr>
        <w:t>、</w:t>
      </w:r>
      <w:r>
        <w:rPr>
          <w:rFonts w:ascii="Verdana" w:hAnsi="Verdana"/>
          <w:b/>
          <w:color w:val="333333"/>
          <w:shd w:val="clear" w:color="auto" w:fill="FFFFFF"/>
        </w:rPr>
        <w:t>财政收入</w:t>
      </w:r>
    </w:p>
    <w:p w14:paraId="452AF643">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财政收入概述</w:t>
      </w:r>
    </w:p>
    <w:p w14:paraId="72B41DA3">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税收收入</w:t>
      </w:r>
    </w:p>
    <w:p w14:paraId="76E8434C">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非税收入</w:t>
      </w:r>
    </w:p>
    <w:p w14:paraId="748271DC">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国际税收</w:t>
      </w:r>
    </w:p>
    <w:p w14:paraId="5BCAA51F">
      <w:pPr>
        <w:pStyle w:val="4"/>
        <w:spacing w:before="0" w:beforeAutospacing="0" w:after="0" w:afterAutospacing="0"/>
        <w:outlineLvl w:val="0"/>
        <w:rPr>
          <w:rFonts w:hint="eastAsia" w:ascii="Verdana" w:hAnsi="Verdana"/>
          <w:color w:val="333333"/>
        </w:rPr>
      </w:pPr>
      <w:r>
        <w:rPr>
          <w:rFonts w:ascii="Verdana" w:hAnsi="Verdana"/>
          <w:b/>
          <w:color w:val="333333"/>
          <w:shd w:val="clear" w:color="auto" w:fill="FFFFFF"/>
        </w:rPr>
        <w:t>四</w:t>
      </w:r>
      <w:r>
        <w:rPr>
          <w:rFonts w:hint="eastAsia" w:ascii="Verdana" w:hAnsi="Verdana"/>
          <w:b/>
          <w:color w:val="333333"/>
          <w:shd w:val="clear" w:color="auto" w:fill="FFFFFF"/>
        </w:rPr>
        <w:t>、</w:t>
      </w:r>
      <w:r>
        <w:rPr>
          <w:rFonts w:ascii="Verdana" w:hAnsi="Verdana"/>
          <w:b/>
          <w:color w:val="333333"/>
          <w:shd w:val="clear" w:color="auto" w:fill="FFFFFF"/>
        </w:rPr>
        <w:t>公债</w:t>
      </w:r>
      <w:r>
        <w:rPr>
          <w:rFonts w:ascii="Verdana" w:hAnsi="Verdana"/>
          <w:b/>
          <w:color w:val="333333"/>
        </w:rPr>
        <w:br w:type="textWrapping"/>
      </w:r>
      <w:r>
        <w:rPr>
          <w:rFonts w:hint="eastAsia" w:ascii="Verdana" w:hAnsi="Verdana"/>
          <w:color w:val="333333"/>
        </w:rPr>
        <w:t xml:space="preserve">    </w:t>
      </w:r>
      <w:r>
        <w:rPr>
          <w:rFonts w:ascii="Verdana" w:hAnsi="Verdana"/>
          <w:color w:val="333333"/>
          <w:shd w:val="clear" w:color="auto" w:fill="FFFFFF"/>
        </w:rPr>
        <w:t>公债概述</w:t>
      </w:r>
    </w:p>
    <w:p w14:paraId="2F7F2802">
      <w:pPr>
        <w:pStyle w:val="4"/>
        <w:spacing w:before="0" w:beforeAutospacing="0" w:after="0" w:afterAutospacing="0"/>
        <w:rPr>
          <w:rFonts w:hint="eastAsia" w:ascii="Verdana" w:hAnsi="Verdana"/>
          <w:color w:val="333333"/>
        </w:rPr>
      </w:pPr>
      <w:r>
        <w:rPr>
          <w:rFonts w:hint="eastAsia" w:ascii="Verdana" w:hAnsi="Verdana"/>
          <w:color w:val="333333"/>
        </w:rPr>
        <w:t xml:space="preserve">    </w:t>
      </w:r>
      <w:r>
        <w:rPr>
          <w:rFonts w:ascii="Verdana" w:hAnsi="Verdana"/>
          <w:color w:val="333333"/>
          <w:shd w:val="clear" w:color="auto" w:fill="FFFFFF"/>
        </w:rPr>
        <w:t>公债的发行</w:t>
      </w:r>
    </w:p>
    <w:p w14:paraId="14D4B0D6">
      <w:pPr>
        <w:pStyle w:val="4"/>
        <w:spacing w:before="0" w:beforeAutospacing="0" w:after="0" w:afterAutospacing="0"/>
        <w:rPr>
          <w:rFonts w:hint="eastAsia" w:ascii="Verdana" w:hAnsi="Verdana"/>
          <w:color w:val="333333"/>
          <w:shd w:val="clear" w:color="auto" w:fill="FFFFFF"/>
        </w:rPr>
      </w:pPr>
      <w:r>
        <w:rPr>
          <w:rFonts w:hint="eastAsia" w:ascii="Verdana" w:hAnsi="Verdana"/>
          <w:color w:val="333333"/>
        </w:rPr>
        <w:t xml:space="preserve">    </w:t>
      </w:r>
      <w:r>
        <w:rPr>
          <w:rFonts w:ascii="Verdana" w:hAnsi="Verdana"/>
          <w:color w:val="333333"/>
          <w:shd w:val="clear" w:color="auto" w:fill="FFFFFF"/>
        </w:rPr>
        <w:t>公债的管理</w:t>
      </w:r>
    </w:p>
    <w:p w14:paraId="241DA4A9">
      <w:pPr>
        <w:pStyle w:val="4"/>
        <w:spacing w:before="0" w:beforeAutospacing="0" w:after="0" w:afterAutospacing="0"/>
        <w:outlineLvl w:val="0"/>
        <w:rPr>
          <w:rFonts w:hint="eastAsia" w:ascii="Verdana" w:hAnsi="Verdana"/>
          <w:b/>
          <w:color w:val="333333"/>
          <w:shd w:val="clear" w:color="auto" w:fill="FFFFFF"/>
        </w:rPr>
      </w:pPr>
      <w:r>
        <w:rPr>
          <w:rFonts w:ascii="Verdana" w:hAnsi="Verdana"/>
          <w:b/>
          <w:color w:val="333333"/>
          <w:shd w:val="clear" w:color="auto" w:fill="FFFFFF"/>
        </w:rPr>
        <w:t>五</w:t>
      </w:r>
      <w:r>
        <w:rPr>
          <w:rFonts w:hint="eastAsia" w:ascii="Verdana" w:hAnsi="Verdana"/>
          <w:b/>
          <w:color w:val="333333"/>
          <w:shd w:val="clear" w:color="auto" w:fill="FFFFFF"/>
        </w:rPr>
        <w:t>、</w:t>
      </w:r>
      <w:r>
        <w:rPr>
          <w:rFonts w:ascii="Verdana" w:hAnsi="Verdana"/>
          <w:b/>
          <w:color w:val="333333"/>
          <w:shd w:val="clear" w:color="auto" w:fill="FFFFFF"/>
        </w:rPr>
        <w:t>国家预算</w:t>
      </w:r>
    </w:p>
    <w:p w14:paraId="332C7189">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国家预算概述</w:t>
      </w:r>
    </w:p>
    <w:p w14:paraId="2B16A913">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国家预算的编制与决算</w:t>
      </w:r>
    </w:p>
    <w:p w14:paraId="2E01D7E3">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复式预算</w:t>
      </w:r>
    </w:p>
    <w:p w14:paraId="2B199BC2">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国家预算管理体制</w:t>
      </w:r>
    </w:p>
    <w:p w14:paraId="5DE883F7">
      <w:pPr>
        <w:pStyle w:val="4"/>
        <w:spacing w:before="0" w:beforeAutospacing="0" w:after="0" w:afterAutospacing="0"/>
        <w:outlineLvl w:val="0"/>
        <w:rPr>
          <w:rFonts w:hint="eastAsia" w:ascii="Verdana" w:hAnsi="Verdana"/>
          <w:b/>
          <w:color w:val="333333"/>
          <w:shd w:val="clear" w:color="auto" w:fill="FFFFFF"/>
        </w:rPr>
      </w:pPr>
      <w:r>
        <w:rPr>
          <w:rFonts w:ascii="Verdana" w:hAnsi="Verdana"/>
          <w:b/>
          <w:color w:val="333333"/>
          <w:shd w:val="clear" w:color="auto" w:fill="FFFFFF"/>
        </w:rPr>
        <w:t>六</w:t>
      </w:r>
      <w:r>
        <w:rPr>
          <w:rFonts w:hint="eastAsia" w:ascii="Verdana" w:hAnsi="Verdana"/>
          <w:b/>
          <w:color w:val="333333"/>
          <w:shd w:val="clear" w:color="auto" w:fill="FFFFFF"/>
        </w:rPr>
        <w:t>、</w:t>
      </w:r>
      <w:r>
        <w:rPr>
          <w:rFonts w:ascii="Verdana" w:hAnsi="Verdana"/>
          <w:b/>
          <w:color w:val="333333"/>
          <w:shd w:val="clear" w:color="auto" w:fill="FFFFFF"/>
        </w:rPr>
        <w:t>金融概述</w:t>
      </w:r>
    </w:p>
    <w:p w14:paraId="29749E9D">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金融的概念</w:t>
      </w:r>
    </w:p>
    <w:p w14:paraId="40856E54">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货币制度</w:t>
      </w:r>
    </w:p>
    <w:p w14:paraId="4B1B3682">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信用</w:t>
      </w:r>
    </w:p>
    <w:p w14:paraId="1890621A">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利率</w:t>
      </w:r>
    </w:p>
    <w:p w14:paraId="616E57E4">
      <w:pPr>
        <w:pStyle w:val="4"/>
        <w:spacing w:before="0" w:beforeAutospacing="0" w:after="0" w:afterAutospacing="0"/>
        <w:outlineLvl w:val="0"/>
        <w:rPr>
          <w:rFonts w:hint="eastAsia" w:ascii="Verdana" w:hAnsi="Verdana"/>
          <w:b/>
          <w:color w:val="333333"/>
          <w:shd w:val="clear" w:color="auto" w:fill="FFFFFF"/>
        </w:rPr>
      </w:pPr>
      <w:r>
        <w:rPr>
          <w:rFonts w:ascii="Verdana" w:hAnsi="Verdana"/>
          <w:b/>
          <w:color w:val="333333"/>
          <w:shd w:val="clear" w:color="auto" w:fill="FFFFFF"/>
        </w:rPr>
        <w:t>七</w:t>
      </w:r>
      <w:r>
        <w:rPr>
          <w:rFonts w:hint="eastAsia" w:ascii="Verdana" w:hAnsi="Verdana"/>
          <w:b/>
          <w:color w:val="333333"/>
          <w:shd w:val="clear" w:color="auto" w:fill="FFFFFF"/>
        </w:rPr>
        <w:t>、</w:t>
      </w:r>
      <w:r>
        <w:rPr>
          <w:rFonts w:ascii="Verdana" w:hAnsi="Verdana"/>
          <w:b/>
          <w:color w:val="333333"/>
          <w:shd w:val="clear" w:color="auto" w:fill="FFFFFF"/>
        </w:rPr>
        <w:t>金融机构体系</w:t>
      </w:r>
    </w:p>
    <w:p w14:paraId="08EC564E">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金融机构体系构成</w:t>
      </w:r>
    </w:p>
    <w:p w14:paraId="4E6C2A45">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中央银行</w:t>
      </w:r>
    </w:p>
    <w:p w14:paraId="32948333">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政策性银行</w:t>
      </w:r>
    </w:p>
    <w:p w14:paraId="2AD41A3A">
      <w:pPr>
        <w:pStyle w:val="4"/>
        <w:spacing w:before="0" w:beforeAutospacing="0" w:after="0" w:afterAutospacing="0"/>
        <w:outlineLvl w:val="0"/>
        <w:rPr>
          <w:rFonts w:hint="eastAsia" w:ascii="Verdana" w:hAnsi="Verdana"/>
          <w:b/>
          <w:color w:val="333333"/>
          <w:shd w:val="clear" w:color="auto" w:fill="FFFFFF"/>
        </w:rPr>
      </w:pPr>
      <w:r>
        <w:rPr>
          <w:rFonts w:ascii="Verdana" w:hAnsi="Verdana"/>
          <w:b/>
          <w:color w:val="333333"/>
          <w:shd w:val="clear" w:color="auto" w:fill="FFFFFF"/>
        </w:rPr>
        <w:t>八</w:t>
      </w:r>
      <w:r>
        <w:rPr>
          <w:rFonts w:hint="eastAsia" w:ascii="Verdana" w:hAnsi="Verdana"/>
          <w:b/>
          <w:color w:val="333333"/>
          <w:shd w:val="clear" w:color="auto" w:fill="FFFFFF"/>
        </w:rPr>
        <w:t>、</w:t>
      </w:r>
      <w:r>
        <w:rPr>
          <w:rFonts w:ascii="Verdana" w:hAnsi="Verdana"/>
          <w:b/>
          <w:color w:val="333333"/>
          <w:shd w:val="clear" w:color="auto" w:fill="FFFFFF"/>
        </w:rPr>
        <w:t>金融监管</w:t>
      </w:r>
    </w:p>
    <w:p w14:paraId="1FAAF921">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金融监管概述</w:t>
      </w:r>
    </w:p>
    <w:p w14:paraId="5FB940D0">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金融监管体系</w:t>
      </w:r>
    </w:p>
    <w:p w14:paraId="463D41B9">
      <w:pPr>
        <w:pStyle w:val="4"/>
        <w:spacing w:before="0" w:beforeAutospacing="0" w:after="0" w:afterAutospacing="0"/>
        <w:outlineLvl w:val="0"/>
        <w:rPr>
          <w:rFonts w:hint="eastAsia" w:ascii="Verdana" w:hAnsi="Verdana"/>
          <w:b/>
          <w:color w:val="333333"/>
          <w:shd w:val="clear" w:color="auto" w:fill="FFFFFF"/>
        </w:rPr>
      </w:pPr>
      <w:r>
        <w:rPr>
          <w:rFonts w:ascii="Verdana" w:hAnsi="Verdana"/>
          <w:b/>
          <w:color w:val="333333"/>
          <w:shd w:val="clear" w:color="auto" w:fill="FFFFFF"/>
        </w:rPr>
        <w:t>九</w:t>
      </w:r>
      <w:r>
        <w:rPr>
          <w:rFonts w:hint="eastAsia" w:ascii="Verdana" w:hAnsi="Verdana"/>
          <w:b/>
          <w:color w:val="333333"/>
          <w:shd w:val="clear" w:color="auto" w:fill="FFFFFF"/>
        </w:rPr>
        <w:t>、</w:t>
      </w:r>
      <w:r>
        <w:rPr>
          <w:rFonts w:ascii="Verdana" w:hAnsi="Verdana"/>
          <w:b/>
          <w:color w:val="333333"/>
          <w:shd w:val="clear" w:color="auto" w:fill="FFFFFF"/>
        </w:rPr>
        <w:t>商业银行</w:t>
      </w:r>
    </w:p>
    <w:p w14:paraId="0422AFDF">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商业银行概述</w:t>
      </w:r>
    </w:p>
    <w:p w14:paraId="65CCEC13">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商业银行的负债业务</w:t>
      </w:r>
    </w:p>
    <w:p w14:paraId="514C81EE">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商业银行的资产业务</w:t>
      </w:r>
    </w:p>
    <w:p w14:paraId="27B83294">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商业银行的中间业务和表外业务</w:t>
      </w:r>
    </w:p>
    <w:p w14:paraId="629D8AB0">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网上银行业务</w:t>
      </w:r>
    </w:p>
    <w:p w14:paraId="454F3EA3">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我国商业银行简介</w:t>
      </w:r>
    </w:p>
    <w:p w14:paraId="677EC214">
      <w:pPr>
        <w:pStyle w:val="4"/>
        <w:spacing w:before="0" w:beforeAutospacing="0" w:after="0" w:afterAutospacing="0"/>
        <w:outlineLvl w:val="0"/>
        <w:rPr>
          <w:rFonts w:hint="eastAsia" w:ascii="Verdana" w:hAnsi="Verdana"/>
          <w:b/>
          <w:color w:val="333333"/>
          <w:shd w:val="clear" w:color="auto" w:fill="FFFFFF"/>
        </w:rPr>
      </w:pPr>
      <w:r>
        <w:rPr>
          <w:rFonts w:ascii="Verdana" w:hAnsi="Verdana"/>
          <w:b/>
          <w:color w:val="333333"/>
          <w:shd w:val="clear" w:color="auto" w:fill="FFFFFF"/>
        </w:rPr>
        <w:t>十</w:t>
      </w:r>
      <w:r>
        <w:rPr>
          <w:rFonts w:hint="eastAsia" w:ascii="Verdana" w:hAnsi="Verdana"/>
          <w:b/>
          <w:color w:val="333333"/>
          <w:shd w:val="clear" w:color="auto" w:fill="FFFFFF"/>
        </w:rPr>
        <w:t>、</w:t>
      </w:r>
      <w:r>
        <w:rPr>
          <w:rFonts w:ascii="Verdana" w:hAnsi="Verdana"/>
          <w:b/>
          <w:color w:val="333333"/>
          <w:shd w:val="clear" w:color="auto" w:fill="FFFFFF"/>
        </w:rPr>
        <w:t>非银行金融机构</w:t>
      </w:r>
    </w:p>
    <w:p w14:paraId="3FE3A3F5">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保险机构</w:t>
      </w:r>
    </w:p>
    <w:p w14:paraId="67C6377F">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金融信托机构</w:t>
      </w:r>
    </w:p>
    <w:p w14:paraId="400C4E61">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租赁机构</w:t>
      </w:r>
    </w:p>
    <w:p w14:paraId="736EB1CD">
      <w:pPr>
        <w:pStyle w:val="4"/>
        <w:spacing w:before="0" w:beforeAutospacing="0" w:after="0" w:afterAutospacing="0"/>
        <w:outlineLvl w:val="0"/>
        <w:rPr>
          <w:rFonts w:hint="eastAsia" w:ascii="Verdana" w:hAnsi="Verdana"/>
          <w:b/>
          <w:color w:val="333333"/>
          <w:shd w:val="clear" w:color="auto" w:fill="FFFFFF"/>
        </w:rPr>
      </w:pPr>
      <w:r>
        <w:rPr>
          <w:rFonts w:ascii="Verdana" w:hAnsi="Verdana"/>
          <w:b/>
          <w:color w:val="333333"/>
          <w:shd w:val="clear" w:color="auto" w:fill="FFFFFF"/>
        </w:rPr>
        <w:t>十一</w:t>
      </w:r>
      <w:r>
        <w:rPr>
          <w:rFonts w:hint="eastAsia" w:ascii="Verdana" w:hAnsi="Verdana"/>
          <w:b/>
          <w:color w:val="333333"/>
          <w:shd w:val="clear" w:color="auto" w:fill="FFFFFF"/>
        </w:rPr>
        <w:t>、</w:t>
      </w:r>
      <w:r>
        <w:rPr>
          <w:rFonts w:ascii="Verdana" w:hAnsi="Verdana"/>
          <w:b/>
          <w:color w:val="333333"/>
          <w:shd w:val="clear" w:color="auto" w:fill="FFFFFF"/>
        </w:rPr>
        <w:t>金融市场</w:t>
      </w:r>
    </w:p>
    <w:p w14:paraId="623FE951">
      <w:pPr>
        <w:pStyle w:val="4"/>
        <w:spacing w:before="0" w:beforeAutospacing="0" w:after="0" w:afterAutospacing="0"/>
        <w:ind w:firstLine="480" w:firstLineChars="200"/>
        <w:rPr>
          <w:rFonts w:hint="eastAsia" w:ascii="Verdana" w:hAnsi="Verdana"/>
          <w:color w:val="333333"/>
        </w:rPr>
      </w:pPr>
      <w:r>
        <w:rPr>
          <w:rFonts w:ascii="Verdana" w:hAnsi="Verdana"/>
          <w:color w:val="333333"/>
          <w:shd w:val="clear" w:color="auto" w:fill="FFFFFF"/>
        </w:rPr>
        <w:t>金融市场概述</w:t>
      </w:r>
    </w:p>
    <w:p w14:paraId="64E4D099">
      <w:pPr>
        <w:pStyle w:val="4"/>
        <w:spacing w:before="0" w:beforeAutospacing="0" w:after="0" w:afterAutospacing="0"/>
        <w:ind w:firstLine="480" w:firstLineChars="200"/>
        <w:rPr>
          <w:rFonts w:hint="eastAsia" w:ascii="Verdana" w:hAnsi="Verdana"/>
          <w:color w:val="333333"/>
        </w:rPr>
      </w:pPr>
      <w:r>
        <w:rPr>
          <w:rFonts w:ascii="Verdana" w:hAnsi="Verdana"/>
          <w:color w:val="333333"/>
          <w:shd w:val="clear" w:color="auto" w:fill="FFFFFF"/>
        </w:rPr>
        <w:t>金融工具</w:t>
      </w:r>
    </w:p>
    <w:p w14:paraId="18D8C1CA">
      <w:pPr>
        <w:pStyle w:val="4"/>
        <w:spacing w:before="0" w:beforeAutospacing="0" w:after="0" w:afterAutospacing="0"/>
        <w:ind w:left="479" w:leftChars="228"/>
        <w:rPr>
          <w:rFonts w:hint="eastAsia" w:ascii="Verdana" w:hAnsi="Verdana"/>
          <w:color w:val="333333"/>
        </w:rPr>
      </w:pPr>
      <w:r>
        <w:rPr>
          <w:rFonts w:ascii="Verdana" w:hAnsi="Verdana"/>
          <w:color w:val="333333"/>
          <w:shd w:val="clear" w:color="auto" w:fill="FFFFFF"/>
        </w:rPr>
        <w:t>货币市场</w:t>
      </w:r>
      <w:r>
        <w:rPr>
          <w:rFonts w:ascii="Verdana" w:hAnsi="Verdana"/>
          <w:color w:val="333333"/>
        </w:rPr>
        <w:br w:type="textWrapping"/>
      </w:r>
      <w:r>
        <w:rPr>
          <w:rFonts w:ascii="Verdana" w:hAnsi="Verdana"/>
          <w:color w:val="333333"/>
          <w:shd w:val="clear" w:color="auto" w:fill="FFFFFF"/>
        </w:rPr>
        <w:t>资本市场</w:t>
      </w:r>
    </w:p>
    <w:p w14:paraId="50E6FD6E">
      <w:pPr>
        <w:pStyle w:val="4"/>
        <w:spacing w:before="0" w:beforeAutospacing="0" w:after="0" w:afterAutospacing="0"/>
        <w:outlineLvl w:val="0"/>
        <w:rPr>
          <w:rFonts w:hint="eastAsia" w:ascii="Verdana" w:hAnsi="Verdana"/>
          <w:b/>
          <w:color w:val="333333"/>
          <w:shd w:val="clear" w:color="auto" w:fill="FFFFFF"/>
        </w:rPr>
      </w:pPr>
      <w:r>
        <w:rPr>
          <w:rFonts w:ascii="Verdana" w:hAnsi="Verdana"/>
          <w:b/>
          <w:color w:val="333333"/>
          <w:shd w:val="clear" w:color="auto" w:fill="FFFFFF"/>
        </w:rPr>
        <w:t>十二</w:t>
      </w:r>
      <w:r>
        <w:rPr>
          <w:rFonts w:hint="eastAsia" w:ascii="Verdana" w:hAnsi="Verdana"/>
          <w:b/>
          <w:color w:val="333333"/>
          <w:shd w:val="clear" w:color="auto" w:fill="FFFFFF"/>
        </w:rPr>
        <w:t>、</w:t>
      </w:r>
      <w:r>
        <w:rPr>
          <w:rFonts w:ascii="Verdana" w:hAnsi="Verdana"/>
          <w:b/>
          <w:color w:val="333333"/>
          <w:shd w:val="clear" w:color="auto" w:fill="FFFFFF"/>
        </w:rPr>
        <w:t>国际金融</w:t>
      </w:r>
    </w:p>
    <w:p w14:paraId="452D68E4">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国际收支</w:t>
      </w:r>
    </w:p>
    <w:p w14:paraId="3DEF7C06">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外汇与汇率</w:t>
      </w:r>
    </w:p>
    <w:p w14:paraId="578A0356">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国际储备与外债</w:t>
      </w:r>
    </w:p>
    <w:p w14:paraId="6D6B9C51">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国际货币体系</w:t>
      </w:r>
    </w:p>
    <w:p w14:paraId="497C5C24">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国际金融机构</w:t>
      </w:r>
    </w:p>
    <w:p w14:paraId="7D15DB55">
      <w:pPr>
        <w:pStyle w:val="4"/>
        <w:spacing w:before="0" w:beforeAutospacing="0" w:after="0" w:afterAutospacing="0"/>
        <w:outlineLvl w:val="0"/>
        <w:rPr>
          <w:rFonts w:hint="eastAsia" w:ascii="Verdana" w:hAnsi="Verdana"/>
          <w:b/>
          <w:color w:val="333333"/>
          <w:shd w:val="clear" w:color="auto" w:fill="FFFFFF"/>
        </w:rPr>
      </w:pPr>
      <w:r>
        <w:rPr>
          <w:rFonts w:ascii="Verdana" w:hAnsi="Verdana"/>
          <w:b/>
          <w:color w:val="333333"/>
          <w:shd w:val="clear" w:color="auto" w:fill="FFFFFF"/>
        </w:rPr>
        <w:t>十三</w:t>
      </w:r>
      <w:r>
        <w:rPr>
          <w:rFonts w:hint="eastAsia" w:ascii="Verdana" w:hAnsi="Verdana"/>
          <w:b/>
          <w:color w:val="333333"/>
          <w:shd w:val="clear" w:color="auto" w:fill="FFFFFF"/>
        </w:rPr>
        <w:t>、</w:t>
      </w:r>
      <w:r>
        <w:rPr>
          <w:rFonts w:ascii="Verdana" w:hAnsi="Verdana"/>
          <w:b/>
          <w:color w:val="333333"/>
          <w:shd w:val="clear" w:color="auto" w:fill="FFFFFF"/>
        </w:rPr>
        <w:t>货币的供给与需求</w:t>
      </w:r>
    </w:p>
    <w:p w14:paraId="2C81690B">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货币流通规律</w:t>
      </w:r>
    </w:p>
    <w:p w14:paraId="339790BB">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货币需求</w:t>
      </w:r>
    </w:p>
    <w:p w14:paraId="477C1B9F">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货币供给</w:t>
      </w:r>
    </w:p>
    <w:p w14:paraId="2C87031D">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衡量货币流通状况的标志</w:t>
      </w:r>
    </w:p>
    <w:p w14:paraId="77E12C1D">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通货膨胀与通货紧缩</w:t>
      </w:r>
    </w:p>
    <w:p w14:paraId="38A75C1A">
      <w:pPr>
        <w:pStyle w:val="4"/>
        <w:spacing w:before="0" w:beforeAutospacing="0" w:after="0" w:afterAutospacing="0"/>
        <w:outlineLvl w:val="0"/>
        <w:rPr>
          <w:rFonts w:hint="eastAsia" w:ascii="Verdana" w:hAnsi="Verdana"/>
          <w:b/>
          <w:color w:val="333333"/>
          <w:shd w:val="clear" w:color="auto" w:fill="FFFFFF"/>
        </w:rPr>
      </w:pPr>
      <w:r>
        <w:rPr>
          <w:rFonts w:ascii="Verdana" w:hAnsi="Verdana"/>
          <w:b/>
          <w:color w:val="333333"/>
          <w:shd w:val="clear" w:color="auto" w:fill="FFFFFF"/>
        </w:rPr>
        <w:t>十四</w:t>
      </w:r>
      <w:r>
        <w:rPr>
          <w:rFonts w:hint="eastAsia" w:ascii="Verdana" w:hAnsi="Verdana"/>
          <w:b/>
          <w:color w:val="333333"/>
          <w:shd w:val="clear" w:color="auto" w:fill="FFFFFF"/>
        </w:rPr>
        <w:t>、</w:t>
      </w:r>
      <w:r>
        <w:rPr>
          <w:rFonts w:ascii="Verdana" w:hAnsi="Verdana"/>
          <w:b/>
          <w:color w:val="333333"/>
          <w:shd w:val="clear" w:color="auto" w:fill="FFFFFF"/>
        </w:rPr>
        <w:t>财政与金融的宏观调控</w:t>
      </w:r>
    </w:p>
    <w:p w14:paraId="4EDF8096">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财政政策</w:t>
      </w:r>
    </w:p>
    <w:p w14:paraId="346C73CA">
      <w:pPr>
        <w:pStyle w:val="4"/>
        <w:spacing w:before="0" w:beforeAutospacing="0" w:after="0" w:afterAutospacing="0"/>
        <w:ind w:firstLine="480" w:firstLineChars="200"/>
        <w:rPr>
          <w:rFonts w:hint="eastAsia" w:ascii="Verdana" w:hAnsi="Verdana"/>
          <w:color w:val="333333"/>
          <w:shd w:val="clear" w:color="auto" w:fill="FFFFFF"/>
        </w:rPr>
      </w:pPr>
      <w:r>
        <w:rPr>
          <w:rFonts w:ascii="Verdana" w:hAnsi="Verdana"/>
          <w:color w:val="333333"/>
          <w:shd w:val="clear" w:color="auto" w:fill="FFFFFF"/>
        </w:rPr>
        <w:t>货币政策</w:t>
      </w:r>
    </w:p>
    <w:p w14:paraId="52D4C11C">
      <w:pPr>
        <w:pStyle w:val="4"/>
        <w:spacing w:before="0" w:beforeAutospacing="0" w:after="0" w:afterAutospacing="0"/>
        <w:ind w:firstLine="480" w:firstLineChars="200"/>
        <w:rPr>
          <w:rFonts w:hint="default" w:eastAsiaTheme="minorEastAsia"/>
          <w:lang w:val="en-US" w:eastAsia="zh-CN"/>
        </w:rPr>
      </w:pPr>
      <w:r>
        <w:rPr>
          <w:rFonts w:ascii="Verdana" w:hAnsi="Verdana"/>
          <w:color w:val="333333"/>
          <w:shd w:val="clear" w:color="auto" w:fill="FFFFFF"/>
        </w:rPr>
        <w:t>财政与金融的协调与配合</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7F67E5"/>
    <w:multiLevelType w:val="multilevel"/>
    <w:tmpl w:val="117F67E5"/>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23594DB9"/>
    <w:multiLevelType w:val="multilevel"/>
    <w:tmpl w:val="23594DB9"/>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03D41080"/>
    <w:rsid w:val="138A52B7"/>
    <w:rsid w:val="196B5398"/>
    <w:rsid w:val="1E4914E1"/>
    <w:rsid w:val="2A400449"/>
    <w:rsid w:val="2C334F53"/>
    <w:rsid w:val="33A4777B"/>
    <w:rsid w:val="34AB66CA"/>
    <w:rsid w:val="37AB38CA"/>
    <w:rsid w:val="40F02470"/>
    <w:rsid w:val="4E21623C"/>
    <w:rsid w:val="4FA673B0"/>
    <w:rsid w:val="541F0397"/>
    <w:rsid w:val="5D201D75"/>
    <w:rsid w:val="5DB342AB"/>
    <w:rsid w:val="5F8E65C7"/>
    <w:rsid w:val="64FD4EB5"/>
    <w:rsid w:val="65E26D67"/>
    <w:rsid w:val="6F616020"/>
    <w:rsid w:val="725247D2"/>
    <w:rsid w:val="729B5D0E"/>
    <w:rsid w:val="7C392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2121</Words>
  <Characters>2153</Characters>
  <Lines>0</Lines>
  <Paragraphs>0</Paragraphs>
  <TotalTime>14</TotalTime>
  <ScaleCrop>false</ScaleCrop>
  <LinksUpToDate>false</LinksUpToDate>
  <CharactersWithSpaces>2958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LENOVO</cp:lastModifiedBy>
  <cp:lastPrinted>2026-05-28T07:27:00Z</cp:lastPrinted>
  <dcterms:modified xsi:type="dcterms:W3CDTF">2026-09-26T09:26:45Z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3F6D5FA214A04DF3BABD3FAB1B6B057D_11</vt:lpwstr>
  </property>
  <property fmtid="{D5CDD505-2E9C-101B-9397-08002B2CF9AE}" pid="4" name="KSOTemplateDocerSaveRecord">
    <vt:lpwstr>eyJoZGlkIjoiZWI5ZDA3MTQ3OGY1NGEwNWNmYzY4MTYzMGJiNjQzYjUiLCJ1c2VySWQiOiIxNTA2MTk0MzE4In0=</vt:lpwstr>
  </property>
</Properties>
</file>