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  <w:t xml:space="preserve">                 </w:t>
      </w:r>
    </w:p>
    <w:p w14:paraId="56AE3759">
      <w:pPr>
        <w:spacing w:line="560" w:lineRule="exact"/>
        <w:ind w:firstLine="1044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</w:p>
    <w:p w14:paraId="34BDC283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资产评估（025600）</w:t>
      </w:r>
    </w:p>
    <w:p w14:paraId="5CB8AEC8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531BD312">
      <w:pPr>
        <w:spacing w:line="560" w:lineRule="exact"/>
        <w:ind w:firstLine="560" w:firstLineChars="200"/>
        <w:jc w:val="center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</w:p>
    <w:p w14:paraId="27880B67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3793BF05">
      <w:pPr>
        <w:jc w:val="center"/>
        <w:rPr>
          <w:rFonts w:hint="eastAsia" w:ascii="仿宋_GB2312" w:hAnsi="仿宋_GB2312" w:eastAsia="仿宋_GB2312" w:cs="仿宋_GB2312"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初试：436|资产评估专业基础</w:t>
      </w:r>
    </w:p>
    <w:p w14:paraId="5E7547A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一、简答题（5题，每题10分，共50分）</w:t>
      </w:r>
    </w:p>
    <w:p w14:paraId="4AC3154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二、材料分析题（3题，每题10分，共30分）</w:t>
      </w:r>
    </w:p>
    <w:p w14:paraId="4ECB26D9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三、计算题（3题，每题10分，共30分）</w:t>
      </w:r>
    </w:p>
    <w:p w14:paraId="021D880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四、论述题（2题，每题20分，共40分）</w:t>
      </w:r>
    </w:p>
    <w:p w14:paraId="1EFA6F0E">
      <w:pPr>
        <w:spacing w:line="560" w:lineRule="exact"/>
        <w:rPr>
          <w:rFonts w:hint="eastAsia" w:ascii="仿宋_GB2312" w:hAnsi="仿宋_GB2312" w:eastAsia="仿宋_GB2312" w:cs="仿宋_GB2312"/>
          <w:bCs/>
          <w:color w:val="0070C0"/>
          <w:sz w:val="32"/>
          <w:szCs w:val="32"/>
        </w:rPr>
      </w:pPr>
    </w:p>
    <w:p w14:paraId="213CCE9F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40A553EA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 中国资产评估协会编：《资产评估基础》，中国财政经济出版社，202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年4月</w:t>
      </w:r>
    </w:p>
    <w:p w14:paraId="6F8D5797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 乔志敏、王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小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荣：《资产评估学教程》（第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版），中国人民大学出版社，202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</w:p>
    <w:p w14:paraId="133842E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177CCBF1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44795291">
      <w:pPr>
        <w:widowControl/>
        <w:snapToGrid w:val="0"/>
        <w:ind w:firstLine="480" w:firstLineChars="200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主要内容为资产评估基础，包括法律制度与准则，基本事项，评估程序，评估方法，包括成本法、市场法、收益法的模型与应用，评估报告与档案，职业道德与法律责任，国际和国外评估准则；主要资产类型，包括机器设备、房地产、无形资产、流动资产、长期投资以及企业价值的性质、特点、评估模型与方法、评估方法的应用。</w:t>
      </w:r>
    </w:p>
    <w:p w14:paraId="57706936">
      <w:pPr>
        <w:widowControl/>
        <w:snapToGrid w:val="0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44709723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一、资产评估基础</w:t>
      </w:r>
    </w:p>
    <w:p w14:paraId="58EBAB1B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1.资产评估法律制度与准则</w:t>
      </w:r>
    </w:p>
    <w:p w14:paraId="03A30EA1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2.资产评估基本事项</w:t>
      </w:r>
    </w:p>
    <w:p w14:paraId="299F5C5C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3.资产评估程序</w:t>
      </w:r>
    </w:p>
    <w:p w14:paraId="028C71F5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4.资产评估方法</w:t>
      </w:r>
    </w:p>
    <w:p w14:paraId="1E3D2960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5.资产评估报告与档案</w:t>
      </w:r>
    </w:p>
    <w:p w14:paraId="65A2B24C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6.资产评估的职业道德与法律责任</w:t>
      </w:r>
    </w:p>
    <w:p w14:paraId="714D6F26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7</w:t>
      </w:r>
      <w:bookmarkStart w:id="0" w:name="_Hlk107360280"/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.</w:t>
      </w:r>
      <w:bookmarkEnd w:id="0"/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国际和国外评估准则</w:t>
      </w:r>
    </w:p>
    <w:p w14:paraId="45E5A02C">
      <w:pPr>
        <w:adjustRightInd w:val="0"/>
        <w:snapToGrid w:val="0"/>
        <w:ind w:firstLine="482" w:firstLineChars="200"/>
        <w:jc w:val="left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58615106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二、机器设备评估</w:t>
      </w:r>
    </w:p>
    <w:p w14:paraId="2865C2A4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1.机器设备的含义、特点和分类</w:t>
      </w:r>
    </w:p>
    <w:p w14:paraId="3EA84B37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2.机器设备评估的成本法</w:t>
      </w:r>
    </w:p>
    <w:p w14:paraId="2F856525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3.机器设备评估的市场法</w:t>
      </w:r>
    </w:p>
    <w:p w14:paraId="3221E5C1">
      <w:pPr>
        <w:adjustRightInd w:val="0"/>
        <w:snapToGrid w:val="0"/>
        <w:ind w:firstLine="482" w:firstLineChars="200"/>
        <w:jc w:val="left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52E0DF74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三、房地产评估</w:t>
      </w:r>
    </w:p>
    <w:p w14:paraId="5941CBC1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1.房地产及房地产市场的概念和特征</w:t>
      </w:r>
    </w:p>
    <w:p w14:paraId="5F856A60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2.房地产价格的特性、种类和影响因素</w:t>
      </w:r>
    </w:p>
    <w:p w14:paraId="08C419AF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3.房地产评估的成本法</w:t>
      </w:r>
    </w:p>
    <w:p w14:paraId="1D6E252F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4.房地产评估的收益法</w:t>
      </w:r>
    </w:p>
    <w:p w14:paraId="462AB429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5.房地产评估的市场法</w:t>
      </w:r>
    </w:p>
    <w:p w14:paraId="03017046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6.房地产评估的假设开发法</w:t>
      </w:r>
    </w:p>
    <w:p w14:paraId="5A804E5C">
      <w:pPr>
        <w:adjustRightInd w:val="0"/>
        <w:snapToGrid w:val="0"/>
        <w:ind w:firstLine="482" w:firstLineChars="200"/>
        <w:jc w:val="left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68BFD40D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四、无形资产评估</w:t>
      </w:r>
    </w:p>
    <w:p w14:paraId="3BF1DD0C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1.无形资产的概念、分类与特点</w:t>
      </w:r>
    </w:p>
    <w:p w14:paraId="48DBF4DE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2.无形资产评估的特点、前提和程序</w:t>
      </w:r>
    </w:p>
    <w:p w14:paraId="4262A722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3.无形资产评估的成本法</w:t>
      </w:r>
    </w:p>
    <w:p w14:paraId="7AA10509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4.无形资产评估的收益法</w:t>
      </w:r>
    </w:p>
    <w:p w14:paraId="4C066A1D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5.无形资产评估的市场法</w:t>
      </w:r>
    </w:p>
    <w:p w14:paraId="0AEB8F6E">
      <w:pPr>
        <w:adjustRightInd w:val="0"/>
        <w:snapToGrid w:val="0"/>
        <w:ind w:firstLine="482" w:firstLineChars="200"/>
        <w:jc w:val="left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16A312F0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五、流动资产评估</w:t>
      </w:r>
    </w:p>
    <w:p w14:paraId="6E78F64E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1.流动资产评估的概念、特点和程序</w:t>
      </w:r>
    </w:p>
    <w:p w14:paraId="34AD3611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2.实物类流动资产评估</w:t>
      </w:r>
    </w:p>
    <w:p w14:paraId="22BC7B59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3.债权类流动资产评估</w:t>
      </w:r>
    </w:p>
    <w:p w14:paraId="2200EF76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4.待摊费用评估</w:t>
      </w:r>
    </w:p>
    <w:p w14:paraId="17BB9AD4">
      <w:pPr>
        <w:adjustRightInd w:val="0"/>
        <w:snapToGrid w:val="0"/>
        <w:ind w:firstLine="482" w:firstLineChars="200"/>
        <w:jc w:val="left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2173C79F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六、长期投资评估</w:t>
      </w:r>
    </w:p>
    <w:p w14:paraId="67C49FDE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1.长期投资评估的概念、特点和程序</w:t>
      </w:r>
    </w:p>
    <w:p w14:paraId="2C6899DF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2.长期债权投资评估</w:t>
      </w:r>
    </w:p>
    <w:p w14:paraId="26AE893F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3.长期股权投资评估</w:t>
      </w:r>
    </w:p>
    <w:p w14:paraId="732A7ABD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4.长期待摊费用评估</w:t>
      </w:r>
    </w:p>
    <w:p w14:paraId="13CED3F3">
      <w:pPr>
        <w:adjustRightInd w:val="0"/>
        <w:snapToGrid w:val="0"/>
        <w:ind w:firstLine="482" w:firstLineChars="200"/>
        <w:jc w:val="left"/>
        <w:rPr>
          <w:rFonts w:hint="eastAsia" w:ascii="仿宋_GB2312" w:hAnsi="仿宋_GB2312" w:eastAsia="仿宋_GB2312" w:cs="仿宋_GB2312"/>
          <w:b/>
          <w:bCs/>
          <w:sz w:val="24"/>
          <w:shd w:val="clear" w:color="auto" w:fill="FFFFFF"/>
        </w:rPr>
      </w:pPr>
    </w:p>
    <w:p w14:paraId="2CBFE83A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七、企业价值评估</w:t>
      </w:r>
    </w:p>
    <w:p w14:paraId="2CE38B71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1.企业价值评估的概念、特点、程序与用途</w:t>
      </w:r>
    </w:p>
    <w:p w14:paraId="42FF5C6F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2.企业价值评估的资产基础法</w:t>
      </w:r>
    </w:p>
    <w:p w14:paraId="0CAF7034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3.企业价值评估的收益法</w:t>
      </w:r>
    </w:p>
    <w:p w14:paraId="715E3359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4.企业价值评估的市场法</w:t>
      </w:r>
    </w:p>
    <w:p w14:paraId="536075B6">
      <w:pPr>
        <w:adjustRightInd w:val="0"/>
        <w:snapToGrid w:val="0"/>
        <w:ind w:firstLine="480" w:firstLineChars="200"/>
        <w:jc w:val="left"/>
        <w:rPr>
          <w:rFonts w:hint="eastAsia" w:ascii="宋体" w:hAnsi="宋体" w:cs="宋体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5.企业价值评估的期权法</w:t>
      </w:r>
    </w:p>
    <w:p w14:paraId="59B91CE5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1D97CDA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复试笔试：F541-资产评估相关知识</w:t>
      </w:r>
    </w:p>
    <w:p w14:paraId="39BB7E6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一、材料分析题（3题，每题10分，共30分）</w:t>
      </w:r>
    </w:p>
    <w:p w14:paraId="779B30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二、计算题（3题，每题10分，共30分）</w:t>
      </w:r>
    </w:p>
    <w:p w14:paraId="60EF9778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三、论述题（2题，每题20分，共40分）</w:t>
      </w:r>
    </w:p>
    <w:p w14:paraId="4A6D6E7B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3CD7CDE8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7AC72A53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中国资产评估协会编：《资产评估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相关知识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》，中国财政经济出版社，202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年4月</w:t>
      </w:r>
    </w:p>
    <w:p w14:paraId="4D50EB0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6BA8BFF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3B70BB6C">
      <w:pPr>
        <w:rPr>
          <w:rFonts w:hint="eastAsia" w:ascii="仿宋_GB2312" w:hAnsi="仿宋_GB2312" w:eastAsia="仿宋_GB2312" w:cs="仿宋_GB2312"/>
        </w:rPr>
      </w:pPr>
    </w:p>
    <w:p w14:paraId="1D9F1161">
      <w:pPr>
        <w:widowControl/>
        <w:ind w:firstLine="482"/>
        <w:jc w:val="left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  <w:szCs w:val="20"/>
        </w:rPr>
        <w:t>主要包括会计知识、财务管理和经济法。会计知识部分需掌握会计基本原理、资产、负债、所有者权益、收入、费用和利润、财务报表、会计政策及其变更、会计估计及其变更、资产负债表日后事项等基本知识和会计处理；财务管理部分需掌握财务管理基础、财务分析、预测与预算、投资管理与方法、筹资与分配管理等；经济法部分需掌握企业法律制度、物权法律制度、金融法律制度、企业国有资产法律制度、税收法律制度。</w:t>
      </w:r>
    </w:p>
    <w:p w14:paraId="4599C786">
      <w:pPr>
        <w:widowControl/>
        <w:ind w:firstLine="480"/>
        <w:jc w:val="left"/>
        <w:rPr>
          <w:rFonts w:hint="eastAsia" w:ascii="仿宋_GB2312" w:hAnsi="仿宋_GB2312" w:eastAsia="仿宋_GB2312" w:cs="仿宋_GB2312"/>
          <w:sz w:val="24"/>
          <w:szCs w:val="20"/>
        </w:rPr>
      </w:pPr>
    </w:p>
    <w:p w14:paraId="45F63225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 xml:space="preserve">一、会计知识 </w:t>
      </w:r>
    </w:p>
    <w:p w14:paraId="75937FE2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1.</w:t>
      </w:r>
      <w:bookmarkStart w:id="1" w:name="_Hlk107360890"/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会计基本原理</w:t>
      </w:r>
    </w:p>
    <w:p w14:paraId="06DE59C9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2.资产的</w:t>
      </w:r>
      <w:bookmarkStart w:id="2" w:name="_Hlk107360972"/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基本知识和会计处理</w:t>
      </w:r>
      <w:bookmarkEnd w:id="2"/>
    </w:p>
    <w:p w14:paraId="6A5A1FC3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3.负债的基本知识和会计处理</w:t>
      </w:r>
    </w:p>
    <w:p w14:paraId="76035F9F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4.所有者权益的基本知识和会计处理</w:t>
      </w:r>
    </w:p>
    <w:p w14:paraId="5FE05299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5.收入、费用和利润的基本知识和会计处理</w:t>
      </w:r>
    </w:p>
    <w:p w14:paraId="132507AB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6.财务报表、会计政策及其变更、会计估计及其变更、资产负债表日后事项</w:t>
      </w:r>
    </w:p>
    <w:p w14:paraId="2D125211">
      <w:pPr>
        <w:widowControl/>
        <w:jc w:val="left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</w:p>
    <w:bookmarkEnd w:id="1"/>
    <w:p w14:paraId="2B6FA300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二、</w:t>
      </w:r>
      <w:bookmarkStart w:id="3" w:name="_Hlk107360985"/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>财务管理</w:t>
      </w:r>
      <w:bookmarkEnd w:id="3"/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 xml:space="preserve"> </w:t>
      </w:r>
    </w:p>
    <w:p w14:paraId="1CAFAA3E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bookmarkStart w:id="4" w:name="_Hlk107361000"/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 xml:space="preserve">1.财务管理基础 </w:t>
      </w:r>
    </w:p>
    <w:p w14:paraId="53F77014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2.财务分析的主体、对象、方法、基本财务分析和杜邦分析法</w:t>
      </w:r>
    </w:p>
    <w:p w14:paraId="29ED2BC1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 xml:space="preserve">3.预测与预算 </w:t>
      </w:r>
    </w:p>
    <w:p w14:paraId="2AD664E4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 xml:space="preserve">4.投资管理与方法 </w:t>
      </w:r>
    </w:p>
    <w:p w14:paraId="459B01AB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 xml:space="preserve">5.筹资与分配管理 </w:t>
      </w:r>
    </w:p>
    <w:bookmarkEnd w:id="4"/>
    <w:p w14:paraId="1FF05A21">
      <w:pPr>
        <w:widowControl/>
        <w:jc w:val="left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</w:p>
    <w:p w14:paraId="6F052BED">
      <w:pPr>
        <w:widowControl/>
        <w:jc w:val="left"/>
        <w:outlineLvl w:val="0"/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kern w:val="0"/>
          <w:sz w:val="24"/>
          <w:shd w:val="clear" w:color="auto" w:fill="FFFFFF"/>
        </w:rPr>
        <w:t xml:space="preserve">三、经济法 </w:t>
      </w:r>
    </w:p>
    <w:p w14:paraId="35DC6A3B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bookmarkStart w:id="5" w:name="_Hlk107361101"/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 xml:space="preserve">1.企业法律制度 </w:t>
      </w:r>
    </w:p>
    <w:p w14:paraId="137F6C22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2.物权法律制度与运用</w:t>
      </w:r>
    </w:p>
    <w:p w14:paraId="35546238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 xml:space="preserve">3.金融法律制度与运用 </w:t>
      </w:r>
    </w:p>
    <w:p w14:paraId="625C68DA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4.企业国有资产法律制度与运用</w:t>
      </w:r>
    </w:p>
    <w:p w14:paraId="73BB9AB6">
      <w:pPr>
        <w:adjustRightInd w:val="0"/>
        <w:snapToGrid w:val="0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hd w:val="clear" w:color="auto" w:fill="FFFFFF"/>
        </w:rPr>
        <w:t>5.税收法律制度与运用</w:t>
      </w:r>
      <w:bookmarkEnd w:id="5"/>
    </w:p>
    <w:p w14:paraId="1676197F"/>
    <w:p w14:paraId="52D4C11C">
      <w:pPr>
        <w:jc w:val="center"/>
        <w:rPr>
          <w:sz w:val="24"/>
          <w:szCs w:val="32"/>
        </w:rPr>
      </w:pPr>
      <w:bookmarkStart w:id="6" w:name="_GoBack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0923CD"/>
    <w:rsid w:val="008B640B"/>
    <w:rsid w:val="00DD71A2"/>
    <w:rsid w:val="00F901A3"/>
    <w:rsid w:val="0AE84A85"/>
    <w:rsid w:val="1E4914E1"/>
    <w:rsid w:val="1FEB0403"/>
    <w:rsid w:val="2B6C2049"/>
    <w:rsid w:val="2C334F53"/>
    <w:rsid w:val="34AB66CA"/>
    <w:rsid w:val="3AA12F12"/>
    <w:rsid w:val="40F02470"/>
    <w:rsid w:val="4FA673B0"/>
    <w:rsid w:val="65E26D67"/>
    <w:rsid w:val="766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1323</Words>
  <Characters>1410</Characters>
  <Lines>13</Lines>
  <Paragraphs>3</Paragraphs>
  <TotalTime>29</TotalTime>
  <ScaleCrop>false</ScaleCrop>
  <LinksUpToDate>false</LinksUpToDate>
  <CharactersWithSpaces>1609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dcterms:modified xsi:type="dcterms:W3CDTF">2026-09-26T09:26:32Z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E5E149E47B264413836BDCCDD49B114E_13</vt:lpwstr>
  </property>
  <property fmtid="{D5CDD505-2E9C-101B-9397-08002B2CF9AE}" pid="4" name="KSOTemplateDocerSaveRecord">
    <vt:lpwstr>eyJoZGlkIjoiMGM1ZWY5NTVjZjg3NTEzNWNhY2YxYTYyMDNmYzkwNWIiLCJ1c2VySWQiOiIyNDcyNTI5NTEifQ==</vt:lpwstr>
  </property>
</Properties>
</file>