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bookmarkStart w:id="0" w:name="_GoBack"/>
      <w:bookmarkEnd w:id="0"/>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adjustRightInd w:val="0"/>
        <w:snapToGrid w:val="0"/>
        <w:jc w:val="center"/>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 xml:space="preserve">    国际贸易学（</w:t>
      </w:r>
      <w:r>
        <w:rPr>
          <w:rFonts w:hint="eastAsia" w:ascii="黑体" w:hAnsi="黑体" w:eastAsia="黑体" w:cs="黑体"/>
          <w:b/>
          <w:color w:val="000000"/>
          <w:sz w:val="36"/>
          <w:szCs w:val="36"/>
        </w:rPr>
        <w:t>020206</w:t>
      </w:r>
      <w:r>
        <w:rPr>
          <w:rFonts w:hint="eastAsia" w:ascii="方正小标宋简体" w:hAnsi="方正小标宋简体" w:eastAsia="方正小标宋简体" w:cs="方正小标宋简体"/>
          <w:b/>
          <w:bCs w:val="0"/>
          <w:sz w:val="40"/>
          <w:szCs w:val="40"/>
          <w:lang w:val="en-US" w:eastAsia="zh-CN"/>
        </w:rPr>
        <w:t>）</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531BD312">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center"/>
        <w:textAlignment w:val="auto"/>
        <w:rPr>
          <w:rFonts w:hint="default" w:ascii="仿宋_GB2312" w:hAnsi="仿宋_GB2312" w:eastAsia="仿宋_GB2312" w:cs="仿宋_GB2312"/>
          <w:bCs/>
          <w:color w:val="FF0000"/>
          <w:sz w:val="28"/>
          <w:szCs w:val="28"/>
          <w:lang w:val="en-US" w:eastAsia="zh-CN"/>
        </w:rPr>
      </w:pP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D25C15F">
      <w:pPr>
        <w:widowControl/>
        <w:adjustRightInd w:val="0"/>
        <w:snapToGrid w:val="0"/>
        <w:jc w:val="center"/>
        <w:rPr>
          <w:rFonts w:hint="eastAsia" w:ascii="宋体" w:hAnsi="宋体" w:cs="宋体"/>
          <w:b/>
          <w:color w:val="000000"/>
          <w:kern w:val="0"/>
          <w:sz w:val="24"/>
        </w:rPr>
      </w:pPr>
      <w:r>
        <w:rPr>
          <w:rFonts w:hint="eastAsia" w:ascii="黑体" w:hAnsi="黑体" w:eastAsia="黑体" w:cs="黑体"/>
          <w:b/>
          <w:bCs w:val="0"/>
          <w:sz w:val="32"/>
          <w:szCs w:val="32"/>
          <w:lang w:val="en-US" w:eastAsia="zh-CN"/>
        </w:rPr>
        <w:t>初试：《经济学基础》</w:t>
      </w: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p>
    <w:p w14:paraId="0C9CBA8D">
      <w:pPr>
        <w:shd w:val="solid" w:color="FFFFFF" w:fill="auto"/>
        <w:autoSpaceDN w:val="0"/>
        <w:adjustRightInd w:val="0"/>
        <w:snapToGrid w:val="0"/>
        <w:rPr>
          <w:rFonts w:hint="eastAsia" w:ascii="宋体" w:hAnsi="宋体" w:cs="宋体"/>
          <w:color w:val="000000"/>
          <w:sz w:val="24"/>
          <w:szCs w:val="21"/>
          <w:shd w:val="clear" w:color="auto" w:fill="FFFFFF"/>
        </w:rPr>
      </w:pPr>
      <w:r>
        <w:rPr>
          <w:rFonts w:hint="eastAsia" w:ascii="宋体" w:hAnsi="宋体" w:cs="宋体"/>
          <w:color w:val="000000"/>
          <w:sz w:val="24"/>
          <w:szCs w:val="21"/>
          <w:shd w:val="clear" w:color="auto" w:fill="FFFFFF"/>
          <w:lang w:val="en-US" w:eastAsia="zh-CN"/>
        </w:rPr>
        <w:t>一、</w:t>
      </w:r>
      <w:r>
        <w:rPr>
          <w:rFonts w:hint="eastAsia" w:ascii="宋体" w:hAnsi="宋体" w:cs="宋体"/>
          <w:color w:val="000000"/>
          <w:sz w:val="24"/>
          <w:szCs w:val="21"/>
          <w:shd w:val="clear" w:color="auto" w:fill="FFFFFF"/>
        </w:rPr>
        <w:t>名词解释（6题，每题5分，共30分）</w:t>
      </w:r>
    </w:p>
    <w:p w14:paraId="2865EDFA">
      <w:pPr>
        <w:shd w:val="solid" w:color="FFFFFF" w:fill="auto"/>
        <w:autoSpaceDN w:val="0"/>
        <w:adjustRightInd w:val="0"/>
        <w:snapToGrid w:val="0"/>
        <w:rPr>
          <w:rFonts w:hint="eastAsia" w:ascii="宋体" w:hAnsi="宋体" w:cs="宋体"/>
          <w:color w:val="000000"/>
          <w:sz w:val="24"/>
          <w:szCs w:val="21"/>
          <w:shd w:val="clear" w:color="auto" w:fill="FFFFFF"/>
        </w:rPr>
      </w:pPr>
      <w:r>
        <w:rPr>
          <w:rFonts w:hint="eastAsia" w:ascii="宋体" w:hAnsi="宋体" w:cs="宋体"/>
          <w:color w:val="000000"/>
          <w:sz w:val="24"/>
          <w:szCs w:val="21"/>
          <w:shd w:val="clear" w:color="auto" w:fill="FFFFFF"/>
          <w:lang w:val="en-US" w:eastAsia="zh-CN"/>
        </w:rPr>
        <w:t>二、</w:t>
      </w:r>
      <w:r>
        <w:rPr>
          <w:rFonts w:hint="eastAsia" w:ascii="宋体" w:hAnsi="宋体" w:cs="宋体"/>
          <w:color w:val="000000"/>
          <w:sz w:val="24"/>
          <w:szCs w:val="21"/>
          <w:shd w:val="clear" w:color="auto" w:fill="FFFFFF"/>
        </w:rPr>
        <w:t>简答题（6题，每题10分，共60分）</w:t>
      </w:r>
    </w:p>
    <w:p w14:paraId="46F848A6">
      <w:pPr>
        <w:shd w:val="solid" w:color="FFFFFF" w:fill="auto"/>
        <w:autoSpaceDN w:val="0"/>
        <w:adjustRightInd w:val="0"/>
        <w:snapToGrid w:val="0"/>
        <w:rPr>
          <w:rFonts w:hint="eastAsia" w:ascii="宋体" w:hAnsi="宋体" w:cs="宋体"/>
          <w:color w:val="000000"/>
          <w:sz w:val="24"/>
          <w:szCs w:val="21"/>
          <w:shd w:val="clear" w:color="auto" w:fill="FFFFFF"/>
        </w:rPr>
      </w:pPr>
      <w:r>
        <w:rPr>
          <w:rFonts w:hint="eastAsia" w:ascii="宋体" w:hAnsi="宋体" w:cs="宋体"/>
          <w:color w:val="000000"/>
          <w:sz w:val="24"/>
          <w:szCs w:val="21"/>
          <w:shd w:val="clear" w:color="auto" w:fill="FFFFFF"/>
          <w:lang w:val="en-US" w:eastAsia="zh-CN"/>
        </w:rPr>
        <w:t>三、</w:t>
      </w:r>
      <w:r>
        <w:rPr>
          <w:rFonts w:hint="eastAsia" w:ascii="宋体" w:hAnsi="宋体" w:cs="宋体"/>
          <w:color w:val="000000"/>
          <w:sz w:val="24"/>
          <w:szCs w:val="21"/>
          <w:shd w:val="clear" w:color="auto" w:fill="FFFFFF"/>
        </w:rPr>
        <w:t>论述题（2题，每题30分，共60分）</w:t>
      </w:r>
    </w:p>
    <w:p w14:paraId="0EAC553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809B902">
      <w:pPr>
        <w:shd w:val="solid" w:color="FFFFFF" w:fill="auto"/>
        <w:autoSpaceDN w:val="0"/>
        <w:adjustRightInd w:val="0"/>
        <w:snapToGrid w:val="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0BB3A84C">
      <w:pPr>
        <w:shd w:val="solid" w:color="FFFFFF" w:fill="auto"/>
        <w:autoSpaceDN w:val="0"/>
        <w:adjustRightInd w:val="0"/>
        <w:snapToGrid w:val="0"/>
        <w:rPr>
          <w:rFonts w:hint="eastAsia" w:ascii="黑体" w:hAnsi="黑体" w:eastAsia="黑体" w:cs="黑体"/>
          <w:b/>
          <w:bCs w:val="0"/>
          <w:sz w:val="32"/>
          <w:szCs w:val="32"/>
          <w:lang w:val="en-US" w:eastAsia="zh-CN"/>
        </w:rPr>
      </w:pPr>
    </w:p>
    <w:p w14:paraId="75132741">
      <w:pPr>
        <w:shd w:val="solid" w:color="FFFFFF" w:fill="auto"/>
        <w:autoSpaceDN w:val="0"/>
        <w:adjustRightInd w:val="0"/>
        <w:snapToGrid w:val="0"/>
        <w:rPr>
          <w:rFonts w:hint="eastAsia" w:ascii="黑体" w:hAnsi="黑体" w:eastAsia="黑体" w:cs="黑体"/>
          <w:b/>
          <w:bCs w:val="0"/>
          <w:sz w:val="32"/>
          <w:szCs w:val="32"/>
          <w:lang w:val="en-US" w:eastAsia="zh-CN"/>
        </w:rPr>
      </w:pPr>
      <w:r>
        <w:rPr>
          <w:rFonts w:hint="eastAsia" w:ascii="宋体" w:hAnsi="宋体" w:cs="宋体"/>
          <w:color w:val="000000"/>
          <w:sz w:val="24"/>
          <w:szCs w:val="21"/>
          <w:shd w:val="clear" w:color="auto" w:fill="FFFFFF"/>
          <w:lang w:val="en-US" w:eastAsia="zh-CN"/>
        </w:rPr>
        <w:t>高鸿业：《西方经济学（宏/微观）》第8版 ，中国人民大学出版社2021年。</w:t>
      </w:r>
    </w:p>
    <w:p w14:paraId="155D684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32AF63A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7152EE15">
      <w:pPr>
        <w:keepNext w:val="0"/>
        <w:keepLines w:val="0"/>
        <w:pageBreakBefore w:val="0"/>
        <w:kinsoku/>
        <w:wordWrap/>
        <w:overflowPunct/>
        <w:topLinePunct w:val="0"/>
        <w:autoSpaceDE/>
        <w:bidi w:val="0"/>
        <w:adjustRightInd w:val="0"/>
        <w:snapToGrid w:val="0"/>
        <w:spacing w:line="400" w:lineRule="exact"/>
        <w:ind w:firstLine="281" w:firstLineChars="100"/>
        <w:textAlignment w:val="auto"/>
        <w:rPr>
          <w:rFonts w:hint="eastAsia" w:ascii="宋体" w:hAnsi="宋体" w:cs="宋体"/>
          <w:color w:val="000000"/>
          <w:sz w:val="24"/>
          <w:shd w:val="clear" w:color="auto" w:fill="FFFFFF"/>
        </w:rPr>
      </w:pPr>
      <w:r>
        <w:rPr>
          <w:rFonts w:hint="eastAsia" w:ascii="仿宋_GB2312" w:hAnsi="仿宋_GB2312" w:eastAsia="仿宋_GB2312" w:cs="仿宋_GB2312"/>
          <w:b/>
          <w:color w:val="000000"/>
          <w:kern w:val="0"/>
          <w:sz w:val="28"/>
          <w:szCs w:val="28"/>
        </w:rPr>
        <w:t>《经济学基础》考试大纲概述：</w:t>
      </w:r>
    </w:p>
    <w:p w14:paraId="40ADC778">
      <w:pPr>
        <w:widowControl/>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内容主要包括价格理论，消费者行为理论（效用理论），生产理论，成本理论，竞争市场</w:t>
      </w:r>
      <w:r>
        <w:rPr>
          <w:rFonts w:ascii="宋体" w:hAnsi="宋体" w:cs="宋体"/>
          <w:color w:val="000000"/>
          <w:sz w:val="24"/>
          <w:shd w:val="clear" w:color="auto" w:fill="FFFFFF"/>
        </w:rPr>
        <w:t>理论，</w:t>
      </w:r>
      <w:r>
        <w:rPr>
          <w:rFonts w:hint="eastAsia" w:ascii="宋体" w:hAnsi="宋体" w:cs="宋体"/>
          <w:color w:val="000000"/>
          <w:sz w:val="24"/>
          <w:shd w:val="clear" w:color="auto" w:fill="FFFFFF"/>
        </w:rPr>
        <w:t>国民收入决定理论，产品</w:t>
      </w:r>
      <w:r>
        <w:rPr>
          <w:rFonts w:ascii="宋体" w:hAnsi="宋体" w:cs="宋体"/>
          <w:color w:val="000000"/>
          <w:sz w:val="24"/>
          <w:shd w:val="clear" w:color="auto" w:fill="FFFFFF"/>
        </w:rPr>
        <w:t>与货币市场均衡理论，</w:t>
      </w:r>
      <w:r>
        <w:rPr>
          <w:rFonts w:hint="eastAsia" w:ascii="宋体" w:hAnsi="宋体" w:cs="宋体"/>
          <w:color w:val="000000"/>
          <w:sz w:val="24"/>
          <w:shd w:val="clear" w:color="auto" w:fill="FFFFFF"/>
        </w:rPr>
        <w:t>宏观经济政策分析，失业与通货膨胀理论等。测试学生对微观经济学和宏观经济学的基本原理、基本工具和方法的掌握程度，了解其是否具有初步应用这些基本原理和基本方法分析有关问题的能力。</w:t>
      </w:r>
    </w:p>
    <w:p w14:paraId="2A8E875C">
      <w:pPr>
        <w:widowControl/>
        <w:adjustRightInd w:val="0"/>
        <w:snapToGrid w:val="0"/>
        <w:rPr>
          <w:rFonts w:ascii="宋体" w:hAnsi="宋体" w:cs="宋体"/>
          <w:b/>
          <w:bCs/>
          <w:color w:val="000000"/>
          <w:sz w:val="24"/>
          <w:shd w:val="clear" w:color="auto" w:fill="FFFFFF"/>
        </w:rPr>
      </w:pPr>
    </w:p>
    <w:p w14:paraId="60D97664">
      <w:pPr>
        <w:widowControl/>
        <w:adjustRightInd w:val="0"/>
        <w:snapToGrid w:val="0"/>
        <w:rPr>
          <w:rFonts w:hint="eastAsia" w:ascii="宋体" w:hAnsi="宋体" w:cs="宋体"/>
          <w:color w:val="000000"/>
          <w:sz w:val="24"/>
          <w:shd w:val="clear" w:color="auto" w:fill="FFFFFF"/>
        </w:rPr>
      </w:pPr>
      <w:r>
        <w:rPr>
          <w:rFonts w:hint="eastAsia" w:ascii="宋体" w:hAnsi="宋体" w:cs="宋体"/>
          <w:b/>
          <w:bCs/>
          <w:color w:val="000000"/>
          <w:sz w:val="24"/>
          <w:shd w:val="clear" w:color="auto" w:fill="FFFFFF"/>
        </w:rPr>
        <w:t>第一部分  微观经济理论</w:t>
      </w:r>
    </w:p>
    <w:p w14:paraId="2BF3C40F">
      <w:pPr>
        <w:widowControl/>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一、需求、供给与价格理论</w:t>
      </w:r>
    </w:p>
    <w:p w14:paraId="00A41809">
      <w:pPr>
        <w:numPr>
          <w:ilvl w:val="0"/>
          <w:numId w:val="1"/>
        </w:numPr>
        <w:shd w:val="solid" w:color="FFFFFF" w:fill="auto"/>
        <w:autoSpaceDN w:val="0"/>
        <w:adjustRightInd w:val="0"/>
        <w:snapToGrid w:val="0"/>
        <w:rPr>
          <w:rFonts w:hint="eastAsia" w:ascii="宋体" w:hAnsi="宋体" w:cs="宋体"/>
          <w:color w:val="000000"/>
          <w:spacing w:val="-17"/>
          <w:sz w:val="24"/>
          <w:shd w:val="clear" w:color="auto" w:fill="FFFFFF"/>
        </w:rPr>
      </w:pPr>
      <w:r>
        <w:rPr>
          <w:rFonts w:hint="eastAsia" w:ascii="宋体" w:hAnsi="宋体" w:cs="宋体"/>
          <w:color w:val="000000"/>
          <w:spacing w:val="-17"/>
          <w:sz w:val="24"/>
          <w:shd w:val="clear" w:color="auto" w:fill="FFFFFF"/>
        </w:rPr>
        <w:t>需求理论</w:t>
      </w:r>
    </w:p>
    <w:p w14:paraId="395EA021">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pacing w:val="-13"/>
          <w:sz w:val="24"/>
          <w:shd w:val="clear" w:color="auto" w:fill="FFFFFF"/>
        </w:rPr>
        <w:t xml:space="preserve">     </w:t>
      </w:r>
      <w:r>
        <w:rPr>
          <w:rFonts w:hint="eastAsia" w:ascii="宋体" w:hAnsi="宋体" w:cs="宋体"/>
          <w:color w:val="000000"/>
          <w:sz w:val="24"/>
          <w:shd w:val="clear" w:color="auto" w:fill="FFFFFF"/>
        </w:rPr>
        <w:t>需求、需求表、需求曲线与需求规律      影响需求的因素：需求函数</w:t>
      </w:r>
    </w:p>
    <w:p w14:paraId="4D72F914">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需求定理                              需求量的变动与需求的变动</w:t>
      </w:r>
    </w:p>
    <w:p w14:paraId="118E6394">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供给理论</w:t>
      </w:r>
    </w:p>
    <w:p w14:paraId="7BFF83F6">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pacing w:val="-13"/>
          <w:sz w:val="24"/>
          <w:shd w:val="clear" w:color="auto" w:fill="FFFFFF"/>
        </w:rPr>
        <w:t xml:space="preserve">    </w:t>
      </w:r>
      <w:r>
        <w:rPr>
          <w:rFonts w:hint="eastAsia" w:ascii="宋体" w:hAnsi="宋体" w:cs="宋体"/>
          <w:color w:val="000000"/>
          <w:sz w:val="24"/>
          <w:shd w:val="clear" w:color="auto" w:fill="FFFFFF"/>
        </w:rPr>
        <w:t xml:space="preserve"> 供给、供给表、供给曲线                影响供给的因素：供给函数</w:t>
      </w:r>
    </w:p>
    <w:p w14:paraId="5310C778">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供给定理                              供给量的变动与供给的变动</w:t>
      </w:r>
    </w:p>
    <w:p w14:paraId="0F5FE044">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价格的决定</w:t>
      </w:r>
    </w:p>
    <w:p w14:paraId="71D24315">
      <w:pPr>
        <w:shd w:val="solid" w:color="FFFFFF" w:fill="auto"/>
        <w:autoSpaceDN w:val="0"/>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均衡价格含义及形成                    需求与供给变动对均衡的影响</w:t>
      </w:r>
    </w:p>
    <w:p w14:paraId="34FD3803">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需求价格弹性</w:t>
      </w:r>
    </w:p>
    <w:p w14:paraId="03836AD7">
      <w:pPr>
        <w:shd w:val="solid" w:color="FFFFFF" w:fill="auto"/>
        <w:autoSpaceDN w:val="0"/>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需求价格弹性的含义与分类              影响需求弹性的因素</w:t>
      </w:r>
    </w:p>
    <w:p w14:paraId="06FD568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弹性理论的运用：需求弹性与总收益</w:t>
      </w:r>
    </w:p>
    <w:p w14:paraId="4461381D">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二、消费者行为理论（效用理论）</w:t>
      </w:r>
    </w:p>
    <w:p w14:paraId="2F4B39C6">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效用</w:t>
      </w:r>
    </w:p>
    <w:p w14:paraId="59897CD8">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基数效用论与序数效用论     总效用与边际效用      边际效用递减规律</w:t>
      </w:r>
    </w:p>
    <w:p w14:paraId="4758E0A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序数效用论</w:t>
      </w:r>
    </w:p>
    <w:p w14:paraId="75476401">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无差异曲线及特征           消费可能线（预算线）   消费者均衡</w:t>
      </w:r>
    </w:p>
    <w:p w14:paraId="7A1697FB">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消费者行为理论的运用</w:t>
      </w:r>
    </w:p>
    <w:p w14:paraId="4FEA7374">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消费者剩余                    消费者行为与需求定理</w:t>
      </w:r>
    </w:p>
    <w:p w14:paraId="18B2E736">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三、生产理论</w:t>
      </w:r>
    </w:p>
    <w:p w14:paraId="171B0E11">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生产要素与生产函数</w:t>
      </w:r>
    </w:p>
    <w:p w14:paraId="4CAD63F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边际收益递减规律</w:t>
      </w:r>
    </w:p>
    <w:p w14:paraId="699FDA10">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总产量、平均产量、边际产量的关系</w:t>
      </w:r>
    </w:p>
    <w:p w14:paraId="36962E8D">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等产量线与等成本线</w:t>
      </w:r>
    </w:p>
    <w:p w14:paraId="055F461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规模报酬</w:t>
      </w:r>
    </w:p>
    <w:p w14:paraId="24473717">
      <w:pPr>
        <w:shd w:val="solid" w:color="FFFFFF" w:fill="auto"/>
        <w:autoSpaceDN w:val="0"/>
        <w:adjustRightInd w:val="0"/>
        <w:snapToGrid w:val="0"/>
        <w:rPr>
          <w:rFonts w:hint="eastAsia" w:ascii="宋体" w:hAnsi="宋体" w:cs="宋体"/>
          <w:bCs/>
          <w:color w:val="000000"/>
          <w:sz w:val="24"/>
          <w:shd w:val="clear" w:color="auto" w:fill="FFFFFF"/>
        </w:rPr>
      </w:pPr>
      <w:r>
        <w:rPr>
          <w:rFonts w:hint="eastAsia" w:ascii="宋体" w:hAnsi="宋体" w:cs="宋体"/>
          <w:bCs/>
          <w:color w:val="000000"/>
          <w:sz w:val="24"/>
          <w:shd w:val="clear" w:color="auto" w:fill="FFFFFF"/>
        </w:rPr>
        <w:t>四、成本与收益理论</w:t>
      </w:r>
    </w:p>
    <w:p w14:paraId="5C19C18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成本</w:t>
      </w:r>
    </w:p>
    <w:p w14:paraId="12ABB4F6">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会计成本与机会成本             机会成本在企业决策中的作用</w:t>
      </w:r>
    </w:p>
    <w:p w14:paraId="0F1436FC">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短期成本</w:t>
      </w:r>
    </w:p>
    <w:p w14:paraId="7B74688F">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短期成本的分类                 各类短期成本的变动规律及其关系</w:t>
      </w:r>
    </w:p>
    <w:p w14:paraId="13C8C6F7">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长期成本</w:t>
      </w:r>
    </w:p>
    <w:p w14:paraId="2FBB8EC4">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长期总成本                     长期平均成本          长期边际成本</w:t>
      </w:r>
    </w:p>
    <w:p w14:paraId="2F8FDEAD">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收益与利润最大化</w:t>
      </w:r>
    </w:p>
    <w:p w14:paraId="680CF3CB">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总收益、平均收益与边际收益     利润最大化原则</w:t>
      </w:r>
    </w:p>
    <w:p w14:paraId="1628E40D">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五、竞争市场理论</w:t>
      </w:r>
    </w:p>
    <w:p w14:paraId="7F33F761">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市场结构</w:t>
      </w:r>
    </w:p>
    <w:p w14:paraId="517F1FD6">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市场结构类型                   市场结构与企业行为的关系</w:t>
      </w:r>
    </w:p>
    <w:p w14:paraId="1A7EE4C4">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完全竞争市场</w:t>
      </w:r>
    </w:p>
    <w:p w14:paraId="4129D0BB">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完全竞争市场含义与特征     完全竞争市场需求曲线、平均收益与边际收益</w:t>
      </w:r>
    </w:p>
    <w:p w14:paraId="066A474E">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利润最大化的基本原则       完全竞争市场上的短期均衡与长期均衡</w:t>
      </w:r>
    </w:p>
    <w:p w14:paraId="050AF87F">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非完全竞争市场</w:t>
      </w:r>
    </w:p>
    <w:p w14:paraId="738B91C9">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完全垄断、垄断竞争和寡头垄断市场的条件及其特征</w:t>
      </w:r>
    </w:p>
    <w:p w14:paraId="7F6CF7C3">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完全垄断厂商的需求曲线、平均收益与边际收益</w:t>
      </w:r>
    </w:p>
    <w:p w14:paraId="6CB16B9F">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垄断市场上的短期均衡与长期均衡（了解）</w:t>
      </w:r>
    </w:p>
    <w:p w14:paraId="0B905712">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垄断竞争与完全竞争的比较</w:t>
      </w:r>
    </w:p>
    <w:p w14:paraId="331AC217">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垄断竞争市场上的产品差别竞争    </w:t>
      </w:r>
    </w:p>
    <w:p w14:paraId="24411627">
      <w:pPr>
        <w:shd w:val="solid" w:color="FFFFFF" w:fill="auto"/>
        <w:autoSpaceDN w:val="0"/>
        <w:adjustRightInd w:val="0"/>
        <w:snapToGrid w:val="0"/>
        <w:rPr>
          <w:rFonts w:hint="eastAsia" w:ascii="宋体" w:hAnsi="宋体" w:cs="宋体"/>
          <w:b/>
          <w:bCs/>
          <w:color w:val="000000"/>
          <w:sz w:val="24"/>
          <w:shd w:val="clear" w:color="auto" w:fill="FFFFFF"/>
        </w:rPr>
      </w:pPr>
    </w:p>
    <w:p w14:paraId="4EFD4720">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
          <w:bCs/>
          <w:color w:val="000000"/>
          <w:sz w:val="24"/>
          <w:shd w:val="clear" w:color="auto" w:fill="FFFFFF"/>
        </w:rPr>
        <w:t>第二部分  宏观经济理论</w:t>
      </w:r>
    </w:p>
    <w:p w14:paraId="36130570">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一、国民收入决定理论</w:t>
      </w:r>
    </w:p>
    <w:p w14:paraId="75AB876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国内生产总值</w:t>
      </w:r>
    </w:p>
    <w:p w14:paraId="799181F0">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国内生产总值的含义                       </w:t>
      </w:r>
    </w:p>
    <w:p w14:paraId="7740D342">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国内生产总值的计算方法</w:t>
      </w:r>
    </w:p>
    <w:p w14:paraId="23C523ED">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实际国内生产总值与名义国内生产总值      </w:t>
      </w:r>
    </w:p>
    <w:p w14:paraId="2145D953">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国内生产总值与人均国内生产总值</w:t>
      </w:r>
    </w:p>
    <w:p w14:paraId="51008DBF">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消费函数、储蓄函数</w:t>
      </w:r>
    </w:p>
    <w:p w14:paraId="0A45970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乘数理论</w:t>
      </w:r>
    </w:p>
    <w:p w14:paraId="73F069FE">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其他宏观经济指标（了解）</w:t>
      </w:r>
    </w:p>
    <w:p w14:paraId="05DC091B">
      <w:pPr>
        <w:shd w:val="solid" w:color="FFFFFF" w:fill="auto"/>
        <w:autoSpaceDN w:val="0"/>
        <w:adjustRightInd w:val="0"/>
        <w:snapToGrid w:val="0"/>
        <w:ind w:firstLine="48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物价指数                       失业率</w:t>
      </w:r>
    </w:p>
    <w:p w14:paraId="280440A2">
      <w:p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bCs/>
          <w:color w:val="000000"/>
          <w:sz w:val="24"/>
          <w:shd w:val="clear" w:color="auto" w:fill="FFFFFF"/>
        </w:rPr>
        <w:t>二、产品市场和货币市场的一般均衡理论</w:t>
      </w:r>
    </w:p>
    <w:p w14:paraId="398C71DF">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投资的决定</w:t>
      </w:r>
    </w:p>
    <w:p w14:paraId="60412C40">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实际利率与投资                  边际效率</w:t>
      </w:r>
    </w:p>
    <w:p w14:paraId="3EDBD8BB">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投资边际效率曲线                预期收益与投资</w:t>
      </w:r>
    </w:p>
    <w:p w14:paraId="71014AFA">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商品市场的均衡（IS）曲线</w:t>
      </w:r>
    </w:p>
    <w:p w14:paraId="7637D24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货币市场的均衡（LM）曲线</w:t>
      </w:r>
    </w:p>
    <w:p w14:paraId="5B6AE40B">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利率的决定</w:t>
      </w:r>
    </w:p>
    <w:p w14:paraId="61C9E1ED">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 xml:space="preserve">三、宏观经济政策分析 </w:t>
      </w:r>
    </w:p>
    <w:p w14:paraId="20C99A98">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财政政策和货币政策的影响</w:t>
      </w:r>
    </w:p>
    <w:p w14:paraId="50042090">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                         货币政策</w:t>
      </w:r>
    </w:p>
    <w:p w14:paraId="222AEBF1">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财政政策和货币政策的影响         财政政策和货币政策的混合使用</w:t>
      </w:r>
    </w:p>
    <w:p w14:paraId="39A137D9">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经济政策目标</w:t>
      </w:r>
    </w:p>
    <w:p w14:paraId="46AED1AA">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充分就业                         价格稳定 </w:t>
      </w:r>
    </w:p>
    <w:p w14:paraId="06106B3D">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经济持续均衡增长                 国际收支平衡。</w:t>
      </w:r>
    </w:p>
    <w:p w14:paraId="5A2248EB">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w:t>
      </w:r>
    </w:p>
    <w:p w14:paraId="51873A86">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财政政策工具                     自动稳定与相机抉择的财政政策</w:t>
      </w:r>
    </w:p>
    <w:p w14:paraId="17E6F687">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功能财政和预算盈余               充分就业预算盈余与财政政策方向</w:t>
      </w:r>
    </w:p>
    <w:p w14:paraId="111AB96B">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货币政策</w:t>
      </w:r>
    </w:p>
    <w:p w14:paraId="715782F5">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商业银行和中央银行               存款创造和货币供给</w:t>
      </w:r>
    </w:p>
    <w:p w14:paraId="7FC45F4C">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债券价格与市场利息率的关系       货币政策及其工具</w:t>
      </w:r>
    </w:p>
    <w:p w14:paraId="4F565554">
      <w:pPr>
        <w:shd w:val="solid" w:color="FFFFFF" w:fill="auto"/>
        <w:autoSpaceDN w:val="0"/>
        <w:adjustRightInd w:val="0"/>
        <w:snapToGrid w:val="0"/>
        <w:rPr>
          <w:rFonts w:hint="eastAsia" w:ascii="宋体" w:hAnsi="宋体" w:cs="宋体"/>
          <w:b/>
          <w:bCs/>
          <w:color w:val="000000"/>
          <w:sz w:val="24"/>
          <w:shd w:val="clear" w:color="auto" w:fill="FFFFFF"/>
        </w:rPr>
      </w:pPr>
      <w:r>
        <w:rPr>
          <w:rFonts w:hint="eastAsia" w:ascii="宋体" w:hAnsi="宋体" w:cs="宋体"/>
          <w:bCs/>
          <w:color w:val="000000"/>
          <w:sz w:val="24"/>
          <w:shd w:val="clear" w:color="auto" w:fill="FFFFFF"/>
        </w:rPr>
        <w:t>四、失业、通货膨胀理论</w:t>
      </w:r>
    </w:p>
    <w:p w14:paraId="4D534711">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失业理论</w:t>
      </w:r>
    </w:p>
    <w:p w14:paraId="3FF06C23">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失业的分类                       自然失业率和自然就业率  </w:t>
      </w:r>
    </w:p>
    <w:p w14:paraId="4683E3F2">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失业的影响                       奥肯定律</w:t>
      </w:r>
    </w:p>
    <w:p w14:paraId="73E7DFEC">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通货膨胀理论</w:t>
      </w:r>
    </w:p>
    <w:p w14:paraId="3793FED5">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通货膨胀的含义与分类             通货膨胀对经济的影响  </w:t>
      </w:r>
    </w:p>
    <w:p w14:paraId="3D4B7642">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通货膨胀的原因                   需求拉动的通货膨胀理论    </w:t>
      </w:r>
    </w:p>
    <w:p w14:paraId="4D12EF0B">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供给推动的通货膨胀理论           其他通货膨胀理论</w:t>
      </w:r>
    </w:p>
    <w:p w14:paraId="36753784">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治理通货膨胀的对策</w:t>
      </w:r>
    </w:p>
    <w:p w14:paraId="64BAB362">
      <w:pPr>
        <w:numPr>
          <w:ilvl w:val="0"/>
          <w:numId w:val="2"/>
        </w:numPr>
        <w:shd w:val="solid" w:color="FFFFFF" w:fill="auto"/>
        <w:autoSpaceDN w:val="0"/>
        <w:adjustRightInd w:val="0"/>
        <w:snapToGrid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菲利普斯曲线</w:t>
      </w:r>
    </w:p>
    <w:p w14:paraId="65DB3C24">
      <w:pPr>
        <w:shd w:val="solid" w:color="FFFFFF" w:fill="auto"/>
        <w:autoSpaceDN w:val="0"/>
        <w:adjustRightInd w:val="0"/>
        <w:snapToGrid w:val="0"/>
        <w:ind w:left="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菲利普斯曲线的提出               菲利普斯曲线的政策含义</w:t>
      </w:r>
    </w:p>
    <w:p w14:paraId="0A7AB0ED">
      <w:pPr>
        <w:shd w:val="solid" w:color="FFFFFF" w:fill="auto"/>
        <w:autoSpaceDN w:val="0"/>
        <w:adjustRightInd w:val="0"/>
        <w:snapToGrid w:val="0"/>
        <w:ind w:left="420"/>
        <w:rPr>
          <w:rFonts w:hint="eastAsia" w:ascii="宋体" w:hAnsi="宋体" w:cs="宋体"/>
          <w:color w:val="000000"/>
          <w:sz w:val="24"/>
          <w:shd w:val="clear" w:color="auto" w:fill="FFFFFF"/>
        </w:rPr>
      </w:pPr>
    </w:p>
    <w:p w14:paraId="734E264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B894E3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5B5832F8">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4939F9A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复试笔试：《国际经济学[含国际贸易实务]》</w:t>
      </w:r>
    </w:p>
    <w:p w14:paraId="024662C5">
      <w:pPr>
        <w:widowControl/>
        <w:adjustRightInd w:val="0"/>
        <w:snapToGrid w:val="0"/>
        <w:rPr>
          <w:rFonts w:hint="eastAsia" w:ascii="宋体" w:hAnsi="宋体" w:cs="宋体"/>
          <w:kern w:val="0"/>
          <w:sz w:val="24"/>
        </w:rPr>
      </w:pPr>
      <w:r>
        <w:rPr>
          <w:rFonts w:hint="eastAsia" w:ascii="宋体" w:hAnsi="宋体" w:cs="宋体"/>
          <w:kern w:val="0"/>
          <w:sz w:val="24"/>
          <w:lang w:val="en-US" w:eastAsia="zh-CN"/>
        </w:rPr>
        <w:t>一、</w:t>
      </w:r>
      <w:r>
        <w:rPr>
          <w:rFonts w:hint="eastAsia" w:ascii="宋体" w:hAnsi="宋体" w:cs="宋体"/>
          <w:kern w:val="0"/>
          <w:sz w:val="24"/>
        </w:rPr>
        <w:t xml:space="preserve">问答题（5题，每题10分，共50分） </w:t>
      </w:r>
    </w:p>
    <w:p w14:paraId="5A6D2A14">
      <w:pPr>
        <w:widowControl/>
        <w:adjustRightInd w:val="0"/>
        <w:snapToGrid w:val="0"/>
        <w:rPr>
          <w:rFonts w:hint="eastAsia" w:ascii="宋体" w:hAnsi="宋体" w:cs="宋体"/>
          <w:kern w:val="0"/>
          <w:sz w:val="24"/>
        </w:rPr>
      </w:pPr>
      <w:r>
        <w:rPr>
          <w:rFonts w:hint="eastAsia" w:ascii="宋体" w:hAnsi="宋体" w:cs="宋体"/>
          <w:kern w:val="0"/>
          <w:sz w:val="24"/>
          <w:lang w:val="en-US" w:eastAsia="zh-CN"/>
        </w:rPr>
        <w:t>二、</w:t>
      </w:r>
      <w:r>
        <w:rPr>
          <w:rFonts w:hint="eastAsia" w:ascii="宋体" w:hAnsi="宋体" w:cs="宋体"/>
          <w:kern w:val="0"/>
          <w:sz w:val="24"/>
        </w:rPr>
        <w:t>论述题（2题，每题25分，共50分）</w:t>
      </w:r>
    </w:p>
    <w:p w14:paraId="6AB445C7">
      <w:pPr>
        <w:widowControl/>
        <w:adjustRightInd w:val="0"/>
        <w:snapToGrid w:val="0"/>
        <w:rPr>
          <w:rFonts w:hint="eastAsia" w:ascii="宋体" w:hAnsi="宋体" w:cs="宋体"/>
          <w:color w:val="000000"/>
          <w:sz w:val="24"/>
          <w:shd w:val="clear" w:color="auto" w:fill="FFFFFF"/>
        </w:rPr>
      </w:pPr>
      <w:r>
        <w:rPr>
          <w:rFonts w:hint="eastAsia" w:ascii="宋体" w:hAnsi="宋体" w:cs="宋体"/>
          <w:kern w:val="0"/>
          <w:sz w:val="24"/>
        </w:rPr>
        <w:t xml:space="preserve"> </w:t>
      </w:r>
    </w:p>
    <w:p w14:paraId="20B5CACD">
      <w:pPr>
        <w:widowControl/>
        <w:numPr>
          <w:ilvl w:val="0"/>
          <w:numId w:val="0"/>
        </w:numPr>
        <w:adjustRightInd w:val="0"/>
        <w:snapToGrid w:val="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03CEB33F">
      <w:pPr>
        <w:widowControl/>
        <w:numPr>
          <w:ilvl w:val="0"/>
          <w:numId w:val="0"/>
        </w:numPr>
        <w:adjustRightInd w:val="0"/>
        <w:snapToGrid w:val="0"/>
        <w:rPr>
          <w:rFonts w:hint="eastAsia" w:ascii="宋体" w:hAnsi="宋体" w:cs="宋体"/>
          <w:color w:val="000000"/>
          <w:sz w:val="24"/>
          <w:shd w:val="clear" w:color="auto" w:fill="FFFFFF"/>
          <w:lang w:val="en-US" w:eastAsia="zh-CN"/>
        </w:rPr>
      </w:pPr>
      <w:r>
        <w:rPr>
          <w:rFonts w:hint="eastAsia" w:ascii="宋体" w:hAnsi="宋体" w:cs="宋体"/>
          <w:color w:val="000000"/>
          <w:sz w:val="24"/>
          <w:shd w:val="clear" w:color="auto" w:fill="FFFFFF"/>
          <w:lang w:val="en-US" w:eastAsia="zh-CN"/>
        </w:rPr>
        <w:t>1.</w:t>
      </w:r>
      <w:r>
        <w:rPr>
          <w:rFonts w:hint="eastAsia" w:ascii="宋体" w:hAnsi="宋体" w:cs="宋体"/>
          <w:color w:val="000000"/>
          <w:sz w:val="24"/>
          <w:shd w:val="clear" w:color="auto" w:fill="FFFFFF"/>
        </w:rPr>
        <w:t>罗伯特·J.凯伯</w:t>
      </w:r>
      <w:r>
        <w:rPr>
          <w:rFonts w:hint="eastAsia" w:ascii="宋体" w:hAnsi="宋体" w:cs="宋体"/>
          <w:color w:val="000000"/>
          <w:sz w:val="24"/>
          <w:shd w:val="clear" w:color="auto" w:fill="FFFFFF"/>
          <w:lang w:eastAsia="zh-CN"/>
        </w:rPr>
        <w:t>：</w:t>
      </w:r>
      <w:r>
        <w:rPr>
          <w:rFonts w:hint="eastAsia" w:ascii="宋体" w:hAnsi="宋体" w:cs="宋体"/>
          <w:color w:val="000000"/>
          <w:sz w:val="24"/>
          <w:shd w:val="clear" w:color="auto" w:fill="FFFFFF"/>
        </w:rPr>
        <w:t>《</w:t>
      </w:r>
      <w:r>
        <w:rPr>
          <w:rFonts w:hint="eastAsia" w:ascii="宋体" w:hAnsi="宋体" w:cs="宋体"/>
          <w:color w:val="000000"/>
          <w:sz w:val="24"/>
          <w:shd w:val="clear" w:color="auto" w:fill="FFFFFF"/>
          <w:lang w:eastAsia="zh-CN"/>
        </w:rPr>
        <w:t>国际经济学</w:t>
      </w:r>
      <w:r>
        <w:rPr>
          <w:rFonts w:hint="eastAsia" w:ascii="宋体" w:hAnsi="宋体" w:cs="宋体"/>
          <w:color w:val="000000"/>
          <w:sz w:val="24"/>
          <w:shd w:val="clear" w:color="auto" w:fill="FFFFFF"/>
        </w:rPr>
        <w:t>》</w:t>
      </w:r>
      <w:r>
        <w:rPr>
          <w:rFonts w:hint="eastAsia" w:ascii="宋体" w:hAnsi="宋体" w:cs="宋体"/>
          <w:color w:val="000000"/>
          <w:sz w:val="24"/>
          <w:shd w:val="clear" w:color="auto" w:fill="FFFFFF"/>
          <w:lang w:eastAsia="zh-CN"/>
        </w:rPr>
        <w:t>第18版 中国人民大学出版社，</w:t>
      </w:r>
      <w:r>
        <w:rPr>
          <w:rFonts w:hint="eastAsia" w:ascii="宋体" w:hAnsi="宋体" w:cs="宋体"/>
          <w:color w:val="000000"/>
          <w:sz w:val="24"/>
          <w:shd w:val="clear" w:color="auto" w:fill="FFFFFF"/>
          <w:lang w:val="en-US" w:eastAsia="zh-CN"/>
        </w:rPr>
        <w:t>2024年。</w:t>
      </w:r>
    </w:p>
    <w:p w14:paraId="00EC5EA6">
      <w:pPr>
        <w:widowControl/>
        <w:numPr>
          <w:ilvl w:val="0"/>
          <w:numId w:val="0"/>
        </w:numPr>
        <w:adjustRightInd w:val="0"/>
        <w:snapToGrid w:val="0"/>
        <w:rPr>
          <w:rFonts w:hint="default" w:ascii="黑体" w:hAnsi="黑体" w:eastAsia="黑体" w:cs="黑体"/>
          <w:b/>
          <w:bCs w:val="0"/>
          <w:sz w:val="32"/>
          <w:szCs w:val="32"/>
          <w:lang w:val="en-US" w:eastAsia="zh-CN"/>
        </w:rPr>
      </w:pPr>
      <w:r>
        <w:rPr>
          <w:rFonts w:hint="eastAsia" w:ascii="宋体" w:hAnsi="宋体" w:cs="宋体"/>
          <w:color w:val="000000"/>
          <w:sz w:val="24"/>
          <w:shd w:val="clear" w:color="auto" w:fill="FFFFFF"/>
          <w:lang w:val="en-US" w:eastAsia="zh-CN"/>
        </w:rPr>
        <w:t>2.</w:t>
      </w:r>
      <w:r>
        <w:rPr>
          <w:rFonts w:hint="default" w:ascii="宋体" w:hAnsi="宋体" w:cs="宋体"/>
          <w:color w:val="000000"/>
          <w:sz w:val="24"/>
          <w:shd w:val="clear" w:color="auto" w:fill="FFFFFF"/>
          <w:lang w:val="en-US" w:eastAsia="zh-CN"/>
        </w:rPr>
        <w:t>余庆瑜</w:t>
      </w:r>
      <w:r>
        <w:rPr>
          <w:rFonts w:hint="eastAsia" w:ascii="宋体" w:hAnsi="宋体" w:cs="宋体"/>
          <w:color w:val="000000"/>
          <w:sz w:val="24"/>
          <w:shd w:val="clear" w:color="auto" w:fill="FFFFFF"/>
          <w:lang w:val="en-US" w:eastAsia="zh-CN"/>
        </w:rPr>
        <w:t>：国际贸易实务：原理与案例（第三版），</w:t>
      </w:r>
      <w:r>
        <w:rPr>
          <w:rFonts w:hint="eastAsia" w:ascii="宋体" w:hAnsi="宋体" w:cs="宋体"/>
          <w:color w:val="000000"/>
          <w:sz w:val="24"/>
          <w:shd w:val="clear" w:color="auto" w:fill="FFFFFF"/>
          <w:lang w:eastAsia="zh-CN"/>
        </w:rPr>
        <w:t>中国人民大学出版社，</w:t>
      </w:r>
      <w:r>
        <w:rPr>
          <w:rFonts w:hint="eastAsia" w:ascii="宋体" w:hAnsi="宋体" w:cs="宋体"/>
          <w:color w:val="000000"/>
          <w:sz w:val="24"/>
          <w:shd w:val="clear" w:color="auto" w:fill="FFFFFF"/>
          <w:lang w:val="en-US" w:eastAsia="zh-CN"/>
        </w:rPr>
        <w:t>2021年。</w:t>
      </w:r>
    </w:p>
    <w:p w14:paraId="63E2ECF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A0805A2">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01A77207">
      <w:pPr>
        <w:widowControl/>
        <w:adjustRightInd w:val="0"/>
        <w:snapToGrid w:val="0"/>
        <w:rPr>
          <w:rFonts w:hint="eastAsia" w:ascii="宋体" w:hAnsi="宋体" w:cs="宋体"/>
          <w:b/>
          <w:color w:val="000000"/>
          <w:kern w:val="0"/>
          <w:sz w:val="24"/>
        </w:rPr>
      </w:pPr>
    </w:p>
    <w:p w14:paraId="126ACD01">
      <w:pPr>
        <w:widowControl/>
        <w:adjustRightInd w:val="0"/>
        <w:snapToGrid w:val="0"/>
        <w:rPr>
          <w:rFonts w:hint="eastAsia" w:ascii="宋体" w:hAnsi="宋体" w:cs="宋体"/>
          <w:b/>
          <w:color w:val="000000"/>
          <w:kern w:val="0"/>
          <w:sz w:val="24"/>
        </w:rPr>
      </w:pPr>
    </w:p>
    <w:p w14:paraId="4BA5CCBF">
      <w:pPr>
        <w:widowControl/>
        <w:adjustRightInd w:val="0"/>
        <w:snapToGrid w:val="0"/>
        <w:spacing w:before="156" w:beforeLines="50"/>
        <w:ind w:firstLine="480" w:firstLineChars="200"/>
        <w:rPr>
          <w:rFonts w:hint="eastAsia" w:ascii="宋体" w:hAnsi="宋体" w:cs="宋体"/>
          <w:kern w:val="0"/>
          <w:sz w:val="24"/>
        </w:rPr>
      </w:pPr>
      <w:r>
        <w:rPr>
          <w:rFonts w:hint="eastAsia" w:ascii="宋体" w:hAnsi="宋体" w:cs="宋体"/>
          <w:kern w:val="0"/>
          <w:sz w:val="24"/>
        </w:rPr>
        <w:t>国际经济学：微观国际经济学、宏观国际经济学、进出口贸易实务。</w:t>
      </w:r>
      <w:r>
        <w:rPr>
          <w:rFonts w:hint="eastAsia" w:ascii="宋体" w:hAnsi="宋体" w:cs="宋体"/>
          <w:kern w:val="0"/>
          <w:sz w:val="24"/>
          <w:lang w:eastAsia="zh-CN"/>
        </w:rPr>
        <w:t>考查</w:t>
      </w:r>
      <w:r>
        <w:rPr>
          <w:rFonts w:hint="eastAsia" w:ascii="宋体" w:hAnsi="宋体" w:cs="宋体"/>
          <w:kern w:val="0"/>
          <w:sz w:val="24"/>
        </w:rPr>
        <w:t>学生对国际经济学的基本理论、基本政策及本学科学术动态的掌握程度；</w:t>
      </w:r>
      <w:r>
        <w:rPr>
          <w:rFonts w:hint="eastAsia" w:ascii="宋体" w:hAnsi="宋体" w:cs="宋体"/>
          <w:kern w:val="0"/>
          <w:sz w:val="24"/>
          <w:lang w:eastAsia="zh-CN"/>
        </w:rPr>
        <w:t>考查</w:t>
      </w:r>
      <w:r>
        <w:rPr>
          <w:rFonts w:hint="eastAsia" w:ascii="宋体" w:hAnsi="宋体" w:cs="宋体"/>
          <w:kern w:val="0"/>
          <w:sz w:val="24"/>
        </w:rPr>
        <w:t>学生分析国际经济现实问题的方法和基本思路；注重对学生知识结构和学术功底的</w:t>
      </w:r>
      <w:r>
        <w:rPr>
          <w:rFonts w:hint="eastAsia" w:ascii="宋体" w:hAnsi="宋体" w:cs="宋体"/>
          <w:kern w:val="0"/>
          <w:sz w:val="24"/>
          <w:lang w:eastAsia="zh-CN"/>
        </w:rPr>
        <w:t>考查</w:t>
      </w:r>
      <w:r>
        <w:rPr>
          <w:rFonts w:hint="eastAsia" w:ascii="宋体" w:hAnsi="宋体" w:cs="宋体"/>
          <w:kern w:val="0"/>
          <w:sz w:val="24"/>
        </w:rPr>
        <w:t>，</w:t>
      </w:r>
      <w:r>
        <w:rPr>
          <w:rFonts w:hint="eastAsia" w:ascii="宋体" w:hAnsi="宋体" w:cs="宋体"/>
          <w:kern w:val="0"/>
          <w:sz w:val="24"/>
          <w:lang w:eastAsia="zh-CN"/>
        </w:rPr>
        <w:t>考查</w:t>
      </w:r>
      <w:r>
        <w:rPr>
          <w:rFonts w:hint="eastAsia" w:ascii="宋体" w:hAnsi="宋体" w:cs="宋体"/>
          <w:kern w:val="0"/>
          <w:sz w:val="24"/>
        </w:rPr>
        <w:t>学生综合运用国际贸易学、国际金融学等学科知识，分析、阐释国际经济现象以及相关文献的能力。</w:t>
      </w:r>
    </w:p>
    <w:p w14:paraId="46C1FC7B">
      <w:pPr>
        <w:widowControl/>
        <w:adjustRightInd w:val="0"/>
        <w:snapToGrid w:val="0"/>
        <w:spacing w:before="156" w:beforeLines="50"/>
        <w:ind w:firstLine="480" w:firstLineChars="200"/>
        <w:rPr>
          <w:rFonts w:hint="eastAsia" w:ascii="宋体" w:hAnsi="宋体" w:cs="宋体"/>
          <w:kern w:val="0"/>
          <w:sz w:val="24"/>
        </w:rPr>
      </w:pPr>
    </w:p>
    <w:p w14:paraId="56E15B3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val="0"/>
          <w:bCs/>
          <w:kern w:val="0"/>
          <w:sz w:val="24"/>
          <w:szCs w:val="24"/>
        </w:rPr>
      </w:pPr>
      <w:r>
        <w:rPr>
          <w:rFonts w:hint="eastAsia" w:asciiTheme="majorEastAsia" w:hAnsiTheme="majorEastAsia" w:eastAsiaTheme="majorEastAsia" w:cstheme="majorEastAsia"/>
          <w:b/>
          <w:bCs w:val="0"/>
          <w:kern w:val="0"/>
          <w:sz w:val="24"/>
          <w:szCs w:val="24"/>
        </w:rPr>
        <w:t>第1章 国际经济与全球化</w:t>
      </w:r>
    </w:p>
    <w:p w14:paraId="1040E26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p>
    <w:p w14:paraId="3EDE836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w:t>
      </w:r>
      <w:r>
        <w:rPr>
          <w:rFonts w:hint="eastAsia" w:asciiTheme="majorEastAsia" w:hAnsiTheme="majorEastAsia" w:eastAsiaTheme="majorEastAsia" w:cstheme="majorEastAsia"/>
          <w:b/>
          <w:bCs w:val="0"/>
          <w:kern w:val="0"/>
          <w:sz w:val="24"/>
          <w:szCs w:val="24"/>
          <w:lang w:val="en-US" w:eastAsia="zh-CN"/>
        </w:rPr>
        <w:t>一</w:t>
      </w:r>
      <w:r>
        <w:rPr>
          <w:rFonts w:hint="eastAsia" w:asciiTheme="majorEastAsia" w:hAnsiTheme="majorEastAsia" w:eastAsiaTheme="majorEastAsia" w:cstheme="majorEastAsia"/>
          <w:b/>
          <w:bCs w:val="0"/>
          <w:kern w:val="0"/>
          <w:sz w:val="24"/>
          <w:szCs w:val="24"/>
        </w:rPr>
        <w:t>部分 国际贸易关系</w:t>
      </w:r>
    </w:p>
    <w:p w14:paraId="3623519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val="0"/>
          <w:bCs/>
          <w:kern w:val="0"/>
          <w:sz w:val="24"/>
          <w:szCs w:val="24"/>
        </w:rPr>
      </w:pPr>
      <w:r>
        <w:rPr>
          <w:rFonts w:hint="eastAsia" w:asciiTheme="majorEastAsia" w:hAnsiTheme="majorEastAsia" w:eastAsiaTheme="majorEastAsia" w:cstheme="majorEastAsia"/>
          <w:b/>
          <w:bCs w:val="0"/>
          <w:kern w:val="0"/>
          <w:sz w:val="24"/>
          <w:szCs w:val="24"/>
        </w:rPr>
        <w:t>第2章 现代贸易理论的基础:比较优势</w:t>
      </w:r>
    </w:p>
    <w:p w14:paraId="7A187CE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第3章 比较优势的来源</w:t>
      </w:r>
    </w:p>
    <w:p w14:paraId="6247E60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第4章 关 税</w:t>
      </w:r>
    </w:p>
    <w:p w14:paraId="1189174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第5章 非关税贸易壁垒</w:t>
      </w:r>
    </w:p>
    <w:p w14:paraId="4DDDE6A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第6章 贸易法规与产业政策</w:t>
      </w:r>
    </w:p>
    <w:p w14:paraId="4531D66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第7章 发展中国家的贸易政策</w:t>
      </w:r>
    </w:p>
    <w:p w14:paraId="394E2C4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第8章 区域贸易协定</w:t>
      </w:r>
    </w:p>
    <w:p w14:paraId="71AC09A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第9章 要素国际流动和跨国企业</w:t>
      </w:r>
    </w:p>
    <w:p w14:paraId="2BE1A7B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p>
    <w:p w14:paraId="0047CA7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w:t>
      </w:r>
      <w:r>
        <w:rPr>
          <w:rFonts w:hint="eastAsia" w:asciiTheme="majorEastAsia" w:hAnsiTheme="majorEastAsia" w:eastAsiaTheme="majorEastAsia" w:cstheme="majorEastAsia"/>
          <w:b/>
          <w:bCs w:val="0"/>
          <w:kern w:val="0"/>
          <w:sz w:val="24"/>
          <w:szCs w:val="24"/>
          <w:lang w:val="en-US" w:eastAsia="zh-CN"/>
        </w:rPr>
        <w:t>二</w:t>
      </w:r>
      <w:r>
        <w:rPr>
          <w:rFonts w:hint="eastAsia" w:asciiTheme="majorEastAsia" w:hAnsiTheme="majorEastAsia" w:eastAsiaTheme="majorEastAsia" w:cstheme="majorEastAsia"/>
          <w:b/>
          <w:bCs w:val="0"/>
          <w:kern w:val="0"/>
          <w:sz w:val="24"/>
          <w:szCs w:val="24"/>
        </w:rPr>
        <w:t>部分 国际货币关系</w:t>
      </w:r>
    </w:p>
    <w:p w14:paraId="4BF76DA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第10章 国际收支</w:t>
      </w:r>
    </w:p>
    <w:p w14:paraId="48D571E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第11章 外 汇</w:t>
      </w:r>
    </w:p>
    <w:p w14:paraId="0781D7D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第12章 汇率的决定</w:t>
      </w:r>
    </w:p>
    <w:p w14:paraId="068D5B3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val="0"/>
          <w:bCs/>
          <w:kern w:val="0"/>
          <w:sz w:val="24"/>
          <w:szCs w:val="24"/>
        </w:rPr>
      </w:pPr>
      <w:r>
        <w:rPr>
          <w:rFonts w:hint="eastAsia" w:asciiTheme="majorEastAsia" w:hAnsiTheme="majorEastAsia" w:eastAsiaTheme="majorEastAsia" w:cstheme="majorEastAsia"/>
          <w:b/>
          <w:bCs w:val="0"/>
          <w:kern w:val="0"/>
          <w:sz w:val="24"/>
          <w:szCs w:val="24"/>
        </w:rPr>
        <w:t>第13章 汇率调整和国际收支平衡</w:t>
      </w:r>
    </w:p>
    <w:p w14:paraId="3225E3B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第14章 汇率制度与货币危机</w:t>
      </w:r>
    </w:p>
    <w:p w14:paraId="11D5444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第15章 开放经济条件下的宏观经济政策</w:t>
      </w:r>
    </w:p>
    <w:p w14:paraId="64CB0AE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p>
    <w:p w14:paraId="4395C46B">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val="0"/>
          <w:bCs/>
          <w:kern w:val="0"/>
          <w:sz w:val="24"/>
          <w:szCs w:val="24"/>
        </w:rPr>
      </w:pPr>
      <w:r>
        <w:rPr>
          <w:rFonts w:hint="eastAsia" w:asciiTheme="majorEastAsia" w:hAnsiTheme="majorEastAsia" w:eastAsiaTheme="majorEastAsia" w:cstheme="majorEastAsia"/>
          <w:b/>
          <w:bCs w:val="0"/>
          <w:kern w:val="0"/>
          <w:sz w:val="24"/>
          <w:szCs w:val="24"/>
        </w:rPr>
        <w:t>第三部分　进出口贸易实务</w:t>
      </w:r>
    </w:p>
    <w:p w14:paraId="5E68DEE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 xml:space="preserve">第 </w:t>
      </w:r>
      <w:r>
        <w:rPr>
          <w:rFonts w:hint="eastAsia" w:asciiTheme="majorEastAsia" w:hAnsiTheme="majorEastAsia" w:eastAsiaTheme="majorEastAsia" w:cstheme="majorEastAsia"/>
          <w:b/>
          <w:bCs w:val="0"/>
          <w:kern w:val="0"/>
          <w:sz w:val="24"/>
          <w:szCs w:val="24"/>
          <w:lang w:val="en-US" w:eastAsia="zh-CN"/>
        </w:rPr>
        <w:t>16</w:t>
      </w:r>
      <w:r>
        <w:rPr>
          <w:rFonts w:hint="eastAsia" w:asciiTheme="majorEastAsia" w:hAnsiTheme="majorEastAsia" w:eastAsiaTheme="majorEastAsia" w:cstheme="majorEastAsia"/>
          <w:b/>
          <w:bCs w:val="0"/>
          <w:kern w:val="0"/>
          <w:sz w:val="24"/>
          <w:szCs w:val="24"/>
        </w:rPr>
        <w:t xml:space="preserve">章 国际贸易术语 </w:t>
      </w:r>
    </w:p>
    <w:p w14:paraId="1A2E8D5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rPr>
        <w:t>第</w:t>
      </w:r>
      <w:r>
        <w:rPr>
          <w:rFonts w:hint="eastAsia" w:asciiTheme="majorEastAsia" w:hAnsiTheme="majorEastAsia" w:eastAsiaTheme="majorEastAsia" w:cstheme="majorEastAsia"/>
          <w:b/>
          <w:bCs w:val="0"/>
          <w:kern w:val="0"/>
          <w:sz w:val="24"/>
          <w:szCs w:val="24"/>
          <w:lang w:val="en-US" w:eastAsia="zh-CN"/>
        </w:rPr>
        <w:t>17章</w:t>
      </w:r>
      <w:r>
        <w:rPr>
          <w:rFonts w:hint="eastAsia" w:asciiTheme="majorEastAsia" w:hAnsiTheme="majorEastAsia" w:eastAsiaTheme="majorEastAsia" w:cstheme="majorEastAsia"/>
          <w:b/>
          <w:bCs w:val="0"/>
          <w:kern w:val="0"/>
          <w:sz w:val="24"/>
          <w:szCs w:val="24"/>
        </w:rPr>
        <w:t xml:space="preserve"> 国际贸易结算</w:t>
      </w:r>
    </w:p>
    <w:p w14:paraId="530EAD6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val="0"/>
          <w:bCs/>
          <w:kern w:val="0"/>
          <w:sz w:val="24"/>
          <w:szCs w:val="24"/>
        </w:rPr>
      </w:pPr>
      <w:r>
        <w:rPr>
          <w:rFonts w:hint="eastAsia" w:asciiTheme="majorEastAsia" w:hAnsiTheme="majorEastAsia" w:eastAsiaTheme="majorEastAsia" w:cstheme="majorEastAsia"/>
          <w:b/>
          <w:bCs w:val="0"/>
          <w:kern w:val="0"/>
          <w:sz w:val="24"/>
          <w:szCs w:val="24"/>
        </w:rPr>
        <w:t xml:space="preserve">第 </w:t>
      </w:r>
      <w:r>
        <w:rPr>
          <w:rFonts w:hint="eastAsia" w:asciiTheme="majorEastAsia" w:hAnsiTheme="majorEastAsia" w:eastAsiaTheme="majorEastAsia" w:cstheme="majorEastAsia"/>
          <w:b/>
          <w:bCs w:val="0"/>
          <w:kern w:val="0"/>
          <w:sz w:val="24"/>
          <w:szCs w:val="24"/>
          <w:lang w:val="en-US" w:eastAsia="zh-CN"/>
        </w:rPr>
        <w:t>18</w:t>
      </w:r>
      <w:r>
        <w:rPr>
          <w:rFonts w:hint="eastAsia" w:asciiTheme="majorEastAsia" w:hAnsiTheme="majorEastAsia" w:eastAsiaTheme="majorEastAsia" w:cstheme="majorEastAsia"/>
          <w:b/>
          <w:bCs w:val="0"/>
          <w:kern w:val="0"/>
          <w:sz w:val="24"/>
          <w:szCs w:val="24"/>
        </w:rPr>
        <w:t>章 国际货物运输和保险</w:t>
      </w:r>
    </w:p>
    <w:p w14:paraId="1C7D479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2" w:firstLineChars="200"/>
        <w:jc w:val="left"/>
        <w:textAlignment w:val="auto"/>
        <w:rPr>
          <w:rFonts w:hint="eastAsia" w:asciiTheme="majorEastAsia" w:hAnsiTheme="majorEastAsia" w:eastAsiaTheme="majorEastAsia" w:cstheme="majorEastAsia"/>
          <w:b/>
          <w:bCs w:val="0"/>
          <w:kern w:val="0"/>
          <w:sz w:val="24"/>
          <w:szCs w:val="24"/>
        </w:rPr>
      </w:pPr>
      <w:r>
        <w:rPr>
          <w:rFonts w:hint="eastAsia" w:asciiTheme="majorEastAsia" w:hAnsiTheme="majorEastAsia" w:eastAsiaTheme="majorEastAsia" w:cstheme="majorEastAsia"/>
          <w:b/>
          <w:bCs w:val="0"/>
          <w:kern w:val="0"/>
          <w:sz w:val="24"/>
          <w:szCs w:val="24"/>
          <w:lang w:val="en-US" w:eastAsia="zh-CN"/>
        </w:rPr>
        <w:t xml:space="preserve">第19章 </w:t>
      </w:r>
      <w:r>
        <w:rPr>
          <w:rFonts w:hint="eastAsia" w:asciiTheme="majorEastAsia" w:hAnsiTheme="majorEastAsia" w:eastAsiaTheme="majorEastAsia" w:cstheme="majorEastAsia"/>
          <w:b/>
          <w:bCs w:val="0"/>
          <w:kern w:val="0"/>
          <w:sz w:val="24"/>
          <w:szCs w:val="24"/>
        </w:rPr>
        <w:t>实务操作的过程</w:t>
      </w:r>
    </w:p>
    <w:p w14:paraId="25FAC9F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80" w:firstLineChars="200"/>
        <w:jc w:val="left"/>
        <w:textAlignment w:val="auto"/>
        <w:rPr>
          <w:rFonts w:hint="eastAsia" w:asciiTheme="majorEastAsia" w:hAnsiTheme="majorEastAsia" w:eastAsiaTheme="majorEastAsia" w:cstheme="majorEastAsia"/>
          <w:b w:val="0"/>
          <w:bCs/>
          <w:kern w:val="0"/>
          <w:sz w:val="24"/>
          <w:szCs w:val="24"/>
        </w:rPr>
      </w:pPr>
    </w:p>
    <w:p w14:paraId="6952EFC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0A6634C">
      <w:pPr>
        <w:jc w:val="center"/>
        <w:rPr>
          <w:rFonts w:hint="eastAsia"/>
          <w:sz w:val="24"/>
          <w:szCs w:val="32"/>
          <w:lang w:val="en-US" w:eastAsia="zh-CN"/>
        </w:rPr>
      </w:pPr>
    </w:p>
    <w:p w14:paraId="6820A2A1">
      <w:pPr>
        <w:jc w:val="both"/>
        <w:rPr>
          <w:rFonts w:hint="default"/>
          <w:sz w:val="24"/>
          <w:szCs w:val="32"/>
          <w:lang w:val="en-US" w:eastAsia="zh-CN"/>
        </w:rPr>
      </w:pPr>
      <w:r>
        <w:rPr>
          <w:rFonts w:hint="eastAsia"/>
          <w:sz w:val="24"/>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3F17007"/>
    <w:rsid w:val="098A7E0E"/>
    <w:rsid w:val="1DCA173D"/>
    <w:rsid w:val="1E4914E1"/>
    <w:rsid w:val="2084749D"/>
    <w:rsid w:val="22B32F52"/>
    <w:rsid w:val="23E34C9B"/>
    <w:rsid w:val="2C334F53"/>
    <w:rsid w:val="30C97060"/>
    <w:rsid w:val="34AB66CA"/>
    <w:rsid w:val="3F196122"/>
    <w:rsid w:val="40F02470"/>
    <w:rsid w:val="4FA673B0"/>
    <w:rsid w:val="5268443A"/>
    <w:rsid w:val="544014DB"/>
    <w:rsid w:val="5D3E1AB0"/>
    <w:rsid w:val="65E26D67"/>
    <w:rsid w:val="67037678"/>
    <w:rsid w:val="78A27CAC"/>
    <w:rsid w:val="7A174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1941</Words>
  <Characters>1980</Characters>
  <Lines>0</Lines>
  <Paragraphs>0</Paragraphs>
  <TotalTime>5</TotalTime>
  <ScaleCrop>false</ScaleCrop>
  <LinksUpToDate>false</LinksUpToDate>
  <CharactersWithSpaces>2692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2026-09-27T08:59:55Z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