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8B5A2">
      <w:pPr>
        <w:adjustRightInd w:val="0"/>
        <w:snapToGrid w:val="0"/>
        <w:jc w:val="center"/>
        <w:rPr>
          <w:rFonts w:hint="eastAsia" w:ascii="黑体" w:hAnsi="黑体" w:eastAsia="黑体" w:cs="黑体"/>
          <w:bCs/>
          <w:color w:val="000000"/>
          <w:sz w:val="36"/>
          <w:szCs w:val="36"/>
        </w:rPr>
      </w:pPr>
      <w:r>
        <w:rPr>
          <w:rFonts w:hint="eastAsia" w:ascii="黑体" w:hAnsi="黑体" w:eastAsia="黑体" w:cs="黑体"/>
          <w:bCs/>
          <w:color w:val="000000"/>
          <w:sz w:val="36"/>
          <w:szCs w:val="36"/>
          <w:lang w:val="en-US" w:eastAsia="zh-CN"/>
        </w:rPr>
        <w:t xml:space="preserve">  </w:t>
      </w:r>
      <w:r>
        <w:rPr>
          <w:rFonts w:hint="eastAsia" w:ascii="黑体" w:hAnsi="黑体" w:eastAsia="黑体" w:cs="黑体"/>
          <w:bCs/>
          <w:color w:val="000000"/>
          <w:sz w:val="36"/>
          <w:szCs w:val="36"/>
        </w:rPr>
        <w:t>统计学</w:t>
      </w:r>
      <w:r>
        <w:rPr>
          <w:rFonts w:hint="eastAsia" w:ascii="黑体" w:hAnsi="黑体" w:eastAsia="黑体" w:cs="黑体"/>
          <w:bCs/>
          <w:color w:val="000000"/>
          <w:sz w:val="36"/>
          <w:szCs w:val="36"/>
          <w:lang w:eastAsia="zh-CN"/>
        </w:rPr>
        <w:t>（</w:t>
      </w:r>
      <w:r>
        <w:rPr>
          <w:rFonts w:hint="eastAsia" w:ascii="黑体" w:hAnsi="黑体" w:eastAsia="黑体" w:cs="黑体"/>
          <w:bCs/>
          <w:color w:val="000000"/>
          <w:sz w:val="36"/>
          <w:szCs w:val="36"/>
        </w:rPr>
        <w:t>027000</w:t>
      </w:r>
      <w:r>
        <w:rPr>
          <w:rFonts w:hint="eastAsia" w:ascii="黑体" w:hAnsi="黑体" w:eastAsia="黑体" w:cs="黑体"/>
          <w:bCs/>
          <w:color w:val="000000"/>
          <w:sz w:val="36"/>
          <w:szCs w:val="36"/>
          <w:lang w:eastAsia="zh-CN"/>
        </w:rPr>
        <w:t>）</w:t>
      </w:r>
    </w:p>
    <w:p w14:paraId="5CB8AEC8">
      <w:pPr>
        <w:adjustRightInd w:val="0"/>
        <w:snapToGrid w:val="0"/>
        <w:jc w:val="center"/>
        <w:rPr>
          <w:rFonts w:hint="eastAsia" w:ascii="黑体" w:hAnsi="黑体" w:eastAsia="黑体" w:cs="黑体"/>
          <w:bCs/>
          <w:color w:val="000000"/>
          <w:sz w:val="36"/>
          <w:szCs w:val="36"/>
          <w:lang w:val="en-US" w:eastAsia="zh-CN"/>
        </w:rPr>
      </w:pPr>
      <w:r>
        <w:rPr>
          <w:rFonts w:hint="eastAsia" w:ascii="黑体" w:hAnsi="黑体" w:eastAsia="黑体" w:cs="黑体"/>
          <w:bCs/>
          <w:color w:val="000000"/>
          <w:sz w:val="36"/>
          <w:szCs w:val="36"/>
          <w:lang w:val="en-US" w:eastAsia="zh-CN"/>
        </w:rPr>
        <w:t>自命题题型及大纲</w:t>
      </w: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62B3F0B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初试：《经济学基础》</w:t>
      </w:r>
    </w:p>
    <w:p w14:paraId="2BBF31F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4FBD4C1C">
      <w:pPr>
        <w:shd w:val="solid" w:color="FFFFFF" w:fill="auto"/>
        <w:autoSpaceDN w:val="0"/>
        <w:adjustRightInd w:val="0"/>
        <w:snapToGrid w:val="0"/>
        <w:jc w:val="center"/>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一、名词解释（6题，每题5分，共30分）</w:t>
      </w:r>
    </w:p>
    <w:p w14:paraId="149F12FA">
      <w:pPr>
        <w:shd w:val="solid" w:color="FFFFFF" w:fill="auto"/>
        <w:autoSpaceDN w:val="0"/>
        <w:adjustRightInd w:val="0"/>
        <w:snapToGrid w:val="0"/>
        <w:jc w:val="center"/>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二、简答题（6题，每题10分，共60分）</w:t>
      </w:r>
    </w:p>
    <w:p w14:paraId="06A7168E">
      <w:pPr>
        <w:shd w:val="solid" w:color="FFFFFF" w:fill="auto"/>
        <w:autoSpaceDN w:val="0"/>
        <w:adjustRightInd w:val="0"/>
        <w:snapToGrid w:val="0"/>
        <w:jc w:val="center"/>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三、论述题（2题，每题30分，共60分）</w:t>
      </w:r>
    </w:p>
    <w:p w14:paraId="4D8A4F6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13CCE9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4E9C4F39">
      <w:pPr>
        <w:shd w:val="solid" w:color="FFFFFF" w:fill="auto"/>
        <w:autoSpaceDN w:val="0"/>
        <w:adjustRightInd w:val="0"/>
        <w:snapToGrid w:val="0"/>
        <w:jc w:val="center"/>
        <w:rPr>
          <w:rFonts w:hint="eastAsia" w:ascii="黑体" w:hAnsi="黑体" w:eastAsia="黑体" w:cs="黑体"/>
          <w:sz w:val="24"/>
          <w:szCs w:val="24"/>
          <w:shd w:val="clear" w:color="auto" w:fill="FFFFFF"/>
        </w:rPr>
      </w:pPr>
      <w:r>
        <w:rPr>
          <w:rFonts w:hint="eastAsia" w:ascii="黑体" w:hAnsi="黑体" w:eastAsia="黑体" w:cs="黑体"/>
          <w:sz w:val="24"/>
          <w:szCs w:val="24"/>
          <w:shd w:val="clear" w:color="auto" w:fill="FFFFFF"/>
        </w:rPr>
        <w:t>高鸿业，《西方经济学(宏/微观)》第8版，中国人民大学出版社，2021。</w:t>
      </w:r>
    </w:p>
    <w:p w14:paraId="7EFD62E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77CCB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66804F9D">
      <w:pPr>
        <w:adjustRightInd w:val="0"/>
        <w:snapToGrid w:val="0"/>
        <w:rPr>
          <w:rFonts w:hint="eastAsia" w:ascii="黑体" w:hAnsi="黑体" w:eastAsia="黑体" w:cs="黑体"/>
          <w:b/>
          <w:color w:val="000000"/>
          <w:kern w:val="0"/>
          <w:sz w:val="24"/>
          <w:szCs w:val="24"/>
        </w:rPr>
      </w:pPr>
      <w:r>
        <w:rPr>
          <w:rFonts w:hint="eastAsia" w:ascii="黑体" w:hAnsi="黑体" w:eastAsia="黑体" w:cs="黑体"/>
          <w:b/>
          <w:color w:val="000000"/>
          <w:kern w:val="0"/>
          <w:sz w:val="24"/>
          <w:szCs w:val="24"/>
        </w:rPr>
        <w:t>《经济学基础》考试大纲概述：</w:t>
      </w:r>
    </w:p>
    <w:p w14:paraId="5A72609D">
      <w:pPr>
        <w:widowControl/>
        <w:snapToGrid w:val="0"/>
        <w:ind w:firstLine="48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内容主要包括价格理论，消费者行为理论（效用理论），生产理论，成本理论，竞争市场理论，国民收入决定理论，产品与货币市场均衡理论，宏观经济政策分析，失业与通货膨胀理论等。测试学生对微观经济学和宏观经济学的基本原理、基本工具和方法的掌握程度，了解其是否具有初步应用这些基本原理和基本方法分析有关问题的能力。</w:t>
      </w:r>
    </w:p>
    <w:p w14:paraId="284F78B5">
      <w:pPr>
        <w:widowControl/>
        <w:snapToGrid w:val="0"/>
        <w:rPr>
          <w:rFonts w:hint="eastAsia" w:ascii="黑体" w:hAnsi="黑体" w:eastAsia="黑体" w:cs="黑体"/>
          <w:b/>
          <w:bCs/>
          <w:color w:val="000000"/>
          <w:sz w:val="24"/>
          <w:szCs w:val="24"/>
          <w:shd w:val="clear" w:color="auto" w:fill="FFFFFF"/>
        </w:rPr>
      </w:pPr>
    </w:p>
    <w:p w14:paraId="4BC7CC06">
      <w:pPr>
        <w:widowControl/>
        <w:snapToGrid w:val="0"/>
        <w:rPr>
          <w:rFonts w:hint="eastAsia" w:ascii="黑体" w:hAnsi="黑体" w:eastAsia="黑体" w:cs="黑体"/>
          <w:color w:val="000000"/>
          <w:sz w:val="24"/>
          <w:szCs w:val="24"/>
          <w:shd w:val="clear" w:color="auto" w:fill="FFFFFF"/>
        </w:rPr>
      </w:pPr>
      <w:r>
        <w:rPr>
          <w:rFonts w:hint="eastAsia" w:ascii="黑体" w:hAnsi="黑体" w:eastAsia="黑体" w:cs="黑体"/>
          <w:b/>
          <w:bCs/>
          <w:color w:val="000000"/>
          <w:sz w:val="24"/>
          <w:szCs w:val="24"/>
          <w:shd w:val="clear" w:color="auto" w:fill="FFFFFF"/>
        </w:rPr>
        <w:t>第一部分微观经济理论</w:t>
      </w:r>
    </w:p>
    <w:p w14:paraId="6C163F96">
      <w:pPr>
        <w:widowControl/>
        <w:snapToGrid w:val="0"/>
        <w:rPr>
          <w:rFonts w:hint="eastAsia" w:ascii="黑体" w:hAnsi="黑体" w:eastAsia="黑体" w:cs="黑体"/>
          <w:color w:val="000000"/>
          <w:sz w:val="24"/>
          <w:szCs w:val="24"/>
          <w:shd w:val="clear" w:color="auto" w:fill="FFFFFF"/>
        </w:rPr>
      </w:pPr>
      <w:r>
        <w:rPr>
          <w:rFonts w:hint="eastAsia" w:ascii="黑体" w:hAnsi="黑体" w:eastAsia="黑体" w:cs="黑体"/>
          <w:bCs/>
          <w:color w:val="000000"/>
          <w:sz w:val="24"/>
          <w:szCs w:val="24"/>
          <w:shd w:val="clear" w:color="auto" w:fill="FFFFFF"/>
        </w:rPr>
        <w:t>一、需求、供给与价格理论</w:t>
      </w:r>
    </w:p>
    <w:p w14:paraId="0E571EC4">
      <w:pPr>
        <w:numPr>
          <w:ilvl w:val="0"/>
          <w:numId w:val="1"/>
        </w:numPr>
        <w:shd w:val="solid" w:color="FFFFFF" w:fill="auto"/>
        <w:autoSpaceDN w:val="0"/>
        <w:rPr>
          <w:rFonts w:hint="eastAsia" w:ascii="黑体" w:hAnsi="黑体" w:eastAsia="黑体" w:cs="黑体"/>
          <w:color w:val="000000"/>
          <w:spacing w:val="-17"/>
          <w:sz w:val="24"/>
          <w:szCs w:val="24"/>
          <w:shd w:val="clear" w:color="auto" w:fill="FFFFFF"/>
        </w:rPr>
      </w:pPr>
      <w:r>
        <w:rPr>
          <w:rFonts w:hint="eastAsia" w:ascii="黑体" w:hAnsi="黑体" w:eastAsia="黑体" w:cs="黑体"/>
          <w:color w:val="000000"/>
          <w:spacing w:val="-17"/>
          <w:sz w:val="24"/>
          <w:szCs w:val="24"/>
          <w:shd w:val="clear" w:color="auto" w:fill="FFFFFF"/>
        </w:rPr>
        <w:t>需求理论</w:t>
      </w:r>
    </w:p>
    <w:p w14:paraId="7A549943">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需求、需求表、需求曲线与需求规律影响需求的因素：需求函数</w:t>
      </w:r>
    </w:p>
    <w:p w14:paraId="4B766C92">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需求定理需求量的变动与需求的变动</w:t>
      </w:r>
    </w:p>
    <w:p w14:paraId="7FF68BA9">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供给理论</w:t>
      </w:r>
    </w:p>
    <w:p w14:paraId="3E009690">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供给、供给表、供给曲线影响供给的因素：供给函数</w:t>
      </w:r>
    </w:p>
    <w:p w14:paraId="0F573AF0">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供给定理供给量的变动与供给的变动</w:t>
      </w:r>
    </w:p>
    <w:p w14:paraId="77D4F366">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价格的决定</w:t>
      </w:r>
    </w:p>
    <w:p w14:paraId="1F4AEB21">
      <w:pPr>
        <w:shd w:val="solid" w:color="FFFFFF" w:fill="auto"/>
        <w:autoSpaceDN w:val="0"/>
        <w:ind w:firstLine="48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均衡价格含义及形成需求与供给变动对均衡的影响</w:t>
      </w:r>
    </w:p>
    <w:p w14:paraId="09A4C849">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需求价格弹性</w:t>
      </w:r>
    </w:p>
    <w:p w14:paraId="46BE0BCA">
      <w:pPr>
        <w:shd w:val="solid" w:color="FFFFFF" w:fill="auto"/>
        <w:autoSpaceDN w:val="0"/>
        <w:ind w:firstLine="48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需求价格弹性的含义与分类影响需求弹性的因素</w:t>
      </w:r>
    </w:p>
    <w:p w14:paraId="733DEEE4">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弹性理论的运用：需求弹性与总收益</w:t>
      </w:r>
    </w:p>
    <w:p w14:paraId="3003E233">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bCs/>
          <w:color w:val="000000"/>
          <w:sz w:val="24"/>
          <w:szCs w:val="24"/>
          <w:shd w:val="clear" w:color="auto" w:fill="FFFFFF"/>
        </w:rPr>
        <w:t>二、消费者行为理论（效用理论）</w:t>
      </w:r>
    </w:p>
    <w:p w14:paraId="1000EBAE">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效用</w:t>
      </w:r>
    </w:p>
    <w:p w14:paraId="5CE61465">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基数效用论与序数效用论总效用与边际效用边际效用递减规律</w:t>
      </w:r>
    </w:p>
    <w:p w14:paraId="09302066">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序数效用论</w:t>
      </w:r>
    </w:p>
    <w:p w14:paraId="58098094">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无差异曲线及特征消费可能线（预算线）消费者均衡</w:t>
      </w:r>
    </w:p>
    <w:p w14:paraId="6A161E7B">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消费者行为理论的运用</w:t>
      </w:r>
    </w:p>
    <w:p w14:paraId="059E2589">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消费者剩余消费者行为与需求定理</w:t>
      </w:r>
    </w:p>
    <w:p w14:paraId="68B376D4">
      <w:pPr>
        <w:shd w:val="solid" w:color="FFFFFF" w:fill="auto"/>
        <w:autoSpaceDN w:val="0"/>
        <w:rPr>
          <w:rFonts w:hint="eastAsia" w:ascii="黑体" w:hAnsi="黑体" w:eastAsia="黑体" w:cs="黑体"/>
          <w:b/>
          <w:bCs/>
          <w:color w:val="000000"/>
          <w:sz w:val="24"/>
          <w:szCs w:val="24"/>
          <w:shd w:val="clear" w:color="auto" w:fill="FFFFFF"/>
        </w:rPr>
      </w:pPr>
      <w:r>
        <w:rPr>
          <w:rFonts w:hint="eastAsia" w:ascii="黑体" w:hAnsi="黑体" w:eastAsia="黑体" w:cs="黑体"/>
          <w:bCs/>
          <w:color w:val="000000"/>
          <w:sz w:val="24"/>
          <w:szCs w:val="24"/>
          <w:shd w:val="clear" w:color="auto" w:fill="FFFFFF"/>
        </w:rPr>
        <w:t>三、生产理论</w:t>
      </w:r>
    </w:p>
    <w:p w14:paraId="79A38A3A">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生产要素与生产函数</w:t>
      </w:r>
    </w:p>
    <w:p w14:paraId="65F343F6">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边际收益递减规律</w:t>
      </w:r>
    </w:p>
    <w:p w14:paraId="24081201">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总产量、平均产量、边际产量的关系</w:t>
      </w:r>
    </w:p>
    <w:p w14:paraId="0C1A98AA">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等产量线与等成本线</w:t>
      </w:r>
    </w:p>
    <w:p w14:paraId="610ACB3C">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规模报酬</w:t>
      </w:r>
    </w:p>
    <w:p w14:paraId="00FF0D2F">
      <w:pPr>
        <w:shd w:val="solid" w:color="FFFFFF" w:fill="auto"/>
        <w:autoSpaceDN w:val="0"/>
        <w:rPr>
          <w:rFonts w:hint="eastAsia" w:ascii="黑体" w:hAnsi="黑体" w:eastAsia="黑体" w:cs="黑体"/>
          <w:bCs/>
          <w:color w:val="000000"/>
          <w:sz w:val="24"/>
          <w:szCs w:val="24"/>
          <w:shd w:val="clear" w:color="auto" w:fill="FFFFFF"/>
        </w:rPr>
      </w:pPr>
      <w:r>
        <w:rPr>
          <w:rFonts w:hint="eastAsia" w:ascii="黑体" w:hAnsi="黑体" w:eastAsia="黑体" w:cs="黑体"/>
          <w:bCs/>
          <w:color w:val="000000"/>
          <w:sz w:val="24"/>
          <w:szCs w:val="24"/>
          <w:shd w:val="clear" w:color="auto" w:fill="FFFFFF"/>
        </w:rPr>
        <w:t>四、成本与收益理论</w:t>
      </w:r>
    </w:p>
    <w:p w14:paraId="01F6B0C9">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成本</w:t>
      </w:r>
    </w:p>
    <w:p w14:paraId="47D84E4A">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会计成本与机会成本机会成本在企业决策中的作用</w:t>
      </w:r>
    </w:p>
    <w:p w14:paraId="0200C407">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短期成本</w:t>
      </w:r>
    </w:p>
    <w:p w14:paraId="5AA58FBF">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短期成本的分类各类短期成本的变动规律及其关系</w:t>
      </w:r>
    </w:p>
    <w:p w14:paraId="68C0DFF8">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长期成本</w:t>
      </w:r>
    </w:p>
    <w:p w14:paraId="6C5BEF06">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长期总成本长期平均成本长期边际成本</w:t>
      </w:r>
    </w:p>
    <w:p w14:paraId="2A918D6E">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收益与利润最大化</w:t>
      </w:r>
    </w:p>
    <w:p w14:paraId="1EBD14B6">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总收益、平均收益与边际收益利润最大化原则</w:t>
      </w:r>
    </w:p>
    <w:p w14:paraId="36B9C25A">
      <w:pPr>
        <w:shd w:val="solid" w:color="FFFFFF" w:fill="auto"/>
        <w:autoSpaceDN w:val="0"/>
        <w:rPr>
          <w:rFonts w:hint="eastAsia" w:ascii="黑体" w:hAnsi="黑体" w:eastAsia="黑体" w:cs="黑体"/>
          <w:b/>
          <w:bCs/>
          <w:color w:val="000000"/>
          <w:sz w:val="24"/>
          <w:szCs w:val="24"/>
          <w:shd w:val="clear" w:color="auto" w:fill="FFFFFF"/>
        </w:rPr>
      </w:pPr>
      <w:r>
        <w:rPr>
          <w:rFonts w:hint="eastAsia" w:ascii="黑体" w:hAnsi="黑体" w:eastAsia="黑体" w:cs="黑体"/>
          <w:bCs/>
          <w:color w:val="000000"/>
          <w:sz w:val="24"/>
          <w:szCs w:val="24"/>
          <w:shd w:val="clear" w:color="auto" w:fill="FFFFFF"/>
        </w:rPr>
        <w:t>五、竞争市场理论</w:t>
      </w:r>
    </w:p>
    <w:p w14:paraId="0BB3F748">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市场结构</w:t>
      </w:r>
    </w:p>
    <w:p w14:paraId="32B58122">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市场结构类型市场结构与企业行为的关系</w:t>
      </w:r>
    </w:p>
    <w:p w14:paraId="1C770671">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完全竞争市场</w:t>
      </w:r>
    </w:p>
    <w:p w14:paraId="1F49C80D">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完全竞争市场含义与特征完全竞争市场需求曲线、平均收益与边际收益</w:t>
      </w:r>
    </w:p>
    <w:p w14:paraId="7F2C0953">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利润最大化的基本原则完全竞争市场上的短期均衡与长期均衡</w:t>
      </w:r>
    </w:p>
    <w:p w14:paraId="16E1FFBF">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非完全竞争市场</w:t>
      </w:r>
    </w:p>
    <w:p w14:paraId="1722185E">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完全垄断、垄断竞争和寡头垄断市场的条件及其特征</w:t>
      </w:r>
    </w:p>
    <w:p w14:paraId="2473B37B">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完全垄断厂商的需求曲线、平均收益与边际收益</w:t>
      </w:r>
    </w:p>
    <w:p w14:paraId="0C2865A7">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垄断市场上的短期均衡与长期均衡（了解）</w:t>
      </w:r>
    </w:p>
    <w:p w14:paraId="7FE53CE7">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垄断竞争与完全竞争的比较</w:t>
      </w:r>
    </w:p>
    <w:p w14:paraId="67714792">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垄断竞争市场上的产品差别竞争</w:t>
      </w:r>
    </w:p>
    <w:p w14:paraId="58B0D9B9">
      <w:pPr>
        <w:shd w:val="solid" w:color="FFFFFF" w:fill="auto"/>
        <w:autoSpaceDN w:val="0"/>
        <w:rPr>
          <w:rFonts w:hint="eastAsia" w:ascii="黑体" w:hAnsi="黑体" w:eastAsia="黑体" w:cs="黑体"/>
          <w:b/>
          <w:bCs/>
          <w:color w:val="000000"/>
          <w:sz w:val="24"/>
          <w:szCs w:val="24"/>
          <w:shd w:val="clear" w:color="auto" w:fill="FFFFFF"/>
        </w:rPr>
      </w:pPr>
    </w:p>
    <w:p w14:paraId="61794A4E">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b/>
          <w:bCs/>
          <w:color w:val="000000"/>
          <w:sz w:val="24"/>
          <w:szCs w:val="24"/>
          <w:shd w:val="clear" w:color="auto" w:fill="FFFFFF"/>
        </w:rPr>
        <w:t>第二部分宏观经济理论</w:t>
      </w:r>
    </w:p>
    <w:p w14:paraId="0E744BFA">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bCs/>
          <w:color w:val="000000"/>
          <w:sz w:val="24"/>
          <w:szCs w:val="24"/>
          <w:shd w:val="clear" w:color="auto" w:fill="FFFFFF"/>
        </w:rPr>
        <w:t>一、国民收入决定理论</w:t>
      </w:r>
    </w:p>
    <w:p w14:paraId="2C41C5BF">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国内生产总值</w:t>
      </w:r>
    </w:p>
    <w:p w14:paraId="4A5398F1">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国内生产总值的含义</w:t>
      </w:r>
    </w:p>
    <w:p w14:paraId="04C9CB40">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国内生产总值的计算方法</w:t>
      </w:r>
    </w:p>
    <w:p w14:paraId="57DAE1F3">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实际国内生产总值与名义国内生产总值</w:t>
      </w:r>
    </w:p>
    <w:p w14:paraId="69B240A0">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国内生产总值与人均国内生产总值</w:t>
      </w:r>
    </w:p>
    <w:p w14:paraId="4A6041C8">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消费函数、储蓄函数</w:t>
      </w:r>
    </w:p>
    <w:p w14:paraId="5462FBEC">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乘数理论</w:t>
      </w:r>
    </w:p>
    <w:p w14:paraId="2BE0081B">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其他宏观经济指标（了解）</w:t>
      </w:r>
    </w:p>
    <w:p w14:paraId="7D7AEC66">
      <w:pPr>
        <w:shd w:val="solid" w:color="FFFFFF" w:fill="auto"/>
        <w:autoSpaceDN w:val="0"/>
        <w:ind w:firstLine="48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物价指数失业率</w:t>
      </w:r>
    </w:p>
    <w:p w14:paraId="6A7BF0AE">
      <w:p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bCs/>
          <w:color w:val="000000"/>
          <w:sz w:val="24"/>
          <w:szCs w:val="24"/>
          <w:shd w:val="clear" w:color="auto" w:fill="FFFFFF"/>
        </w:rPr>
        <w:t>二、产品市场和货币市场的一般均衡理论</w:t>
      </w:r>
    </w:p>
    <w:p w14:paraId="22B59881">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投资的决定</w:t>
      </w:r>
    </w:p>
    <w:p w14:paraId="208A3492">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实际利率与投资边际效率</w:t>
      </w:r>
    </w:p>
    <w:p w14:paraId="59E0BA73">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投资边际效率曲线预期收益与投资</w:t>
      </w:r>
    </w:p>
    <w:p w14:paraId="5F85EC2B">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商品市场的均衡（IS）曲线</w:t>
      </w:r>
    </w:p>
    <w:p w14:paraId="18357EA6">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货币市场的均衡（LM）曲线</w:t>
      </w:r>
    </w:p>
    <w:p w14:paraId="3BB10FF7">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利率的决定</w:t>
      </w:r>
    </w:p>
    <w:p w14:paraId="0D8B94AC">
      <w:pPr>
        <w:shd w:val="solid" w:color="FFFFFF" w:fill="auto"/>
        <w:autoSpaceDN w:val="0"/>
        <w:rPr>
          <w:rFonts w:hint="eastAsia" w:ascii="黑体" w:hAnsi="黑体" w:eastAsia="黑体" w:cs="黑体"/>
          <w:b/>
          <w:bCs/>
          <w:color w:val="000000"/>
          <w:sz w:val="24"/>
          <w:szCs w:val="24"/>
          <w:shd w:val="clear" w:color="auto" w:fill="FFFFFF"/>
        </w:rPr>
      </w:pPr>
      <w:r>
        <w:rPr>
          <w:rFonts w:hint="eastAsia" w:ascii="黑体" w:hAnsi="黑体" w:eastAsia="黑体" w:cs="黑体"/>
          <w:bCs/>
          <w:color w:val="000000"/>
          <w:sz w:val="24"/>
          <w:szCs w:val="24"/>
          <w:shd w:val="clear" w:color="auto" w:fill="FFFFFF"/>
        </w:rPr>
        <w:t>三、宏观经济政策分析</w:t>
      </w:r>
    </w:p>
    <w:p w14:paraId="2438101C">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财政政策和货币政策的影响</w:t>
      </w:r>
    </w:p>
    <w:p w14:paraId="4DBBCEC7">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财政政策货币政策</w:t>
      </w:r>
    </w:p>
    <w:p w14:paraId="406C96C0">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财政政策和货币政策的影响财政政策和货币政策的混合使用</w:t>
      </w:r>
    </w:p>
    <w:p w14:paraId="3BF160B7">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经济政策目标</w:t>
      </w:r>
    </w:p>
    <w:p w14:paraId="6447FF9C">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充分就业价格稳定</w:t>
      </w:r>
    </w:p>
    <w:p w14:paraId="692B27E9">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经济持续均衡增长国际收支平衡。</w:t>
      </w:r>
    </w:p>
    <w:p w14:paraId="5B6B4966">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财政政策</w:t>
      </w:r>
    </w:p>
    <w:p w14:paraId="32C0F98B">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财政政策工具自动稳定与相机抉择的财政政策</w:t>
      </w:r>
    </w:p>
    <w:p w14:paraId="33B18B6A">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功能财政和预算盈余充分就业预算盈余与财政政策方向</w:t>
      </w:r>
    </w:p>
    <w:p w14:paraId="100B5BB6">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货币政策</w:t>
      </w:r>
    </w:p>
    <w:p w14:paraId="22A6459C">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商业银行和中央银行存款创造和货币供给</w:t>
      </w:r>
    </w:p>
    <w:p w14:paraId="4C0CB9E5">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债券价格与市场利息率的关系货币政策及其工具</w:t>
      </w:r>
    </w:p>
    <w:p w14:paraId="2E677244">
      <w:pPr>
        <w:shd w:val="solid" w:color="FFFFFF" w:fill="auto"/>
        <w:autoSpaceDN w:val="0"/>
        <w:rPr>
          <w:rFonts w:hint="eastAsia" w:ascii="黑体" w:hAnsi="黑体" w:eastAsia="黑体" w:cs="黑体"/>
          <w:b/>
          <w:bCs/>
          <w:color w:val="000000"/>
          <w:sz w:val="24"/>
          <w:szCs w:val="24"/>
          <w:shd w:val="clear" w:color="auto" w:fill="FFFFFF"/>
        </w:rPr>
      </w:pPr>
      <w:r>
        <w:rPr>
          <w:rFonts w:hint="eastAsia" w:ascii="黑体" w:hAnsi="黑体" w:eastAsia="黑体" w:cs="黑体"/>
          <w:bCs/>
          <w:color w:val="000000"/>
          <w:sz w:val="24"/>
          <w:szCs w:val="24"/>
          <w:shd w:val="clear" w:color="auto" w:fill="FFFFFF"/>
        </w:rPr>
        <w:t>四、失业、通货膨胀理论</w:t>
      </w:r>
    </w:p>
    <w:p w14:paraId="65CE3034">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失业理论</w:t>
      </w:r>
    </w:p>
    <w:p w14:paraId="5903D6BD">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失业的分类自然失业率和自然就业率</w:t>
      </w:r>
    </w:p>
    <w:p w14:paraId="2AA975CC">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失业的影响奥肯定律</w:t>
      </w:r>
    </w:p>
    <w:p w14:paraId="69AE0358">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通货膨胀理论</w:t>
      </w:r>
    </w:p>
    <w:p w14:paraId="589FCB13">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通货膨胀的含义与分类通货膨胀对经济的影响</w:t>
      </w:r>
    </w:p>
    <w:p w14:paraId="517B6247">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通货膨胀的原因需求拉动的通货膨胀理论</w:t>
      </w:r>
    </w:p>
    <w:p w14:paraId="3DB024D1">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供给推动的通货膨胀理论其他通货膨胀理论</w:t>
      </w:r>
    </w:p>
    <w:p w14:paraId="5D76AD92">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治理通货膨胀的对策</w:t>
      </w:r>
    </w:p>
    <w:p w14:paraId="6D2CA2A3">
      <w:pPr>
        <w:numPr>
          <w:ilvl w:val="0"/>
          <w:numId w:val="2"/>
        </w:numPr>
        <w:shd w:val="solid" w:color="FFFFFF" w:fill="auto"/>
        <w:autoSpaceDN w:val="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菲利普斯曲线</w:t>
      </w:r>
    </w:p>
    <w:p w14:paraId="5AA0AB34">
      <w:pPr>
        <w:shd w:val="solid" w:color="FFFFFF" w:fill="auto"/>
        <w:autoSpaceDN w:val="0"/>
        <w:ind w:left="420"/>
        <w:rPr>
          <w:rFonts w:hint="eastAsia" w:ascii="黑体" w:hAnsi="黑体" w:eastAsia="黑体" w:cs="黑体"/>
          <w:color w:val="000000"/>
          <w:sz w:val="24"/>
          <w:szCs w:val="24"/>
          <w:shd w:val="clear" w:color="auto" w:fill="FFFFFF"/>
        </w:rPr>
      </w:pPr>
      <w:r>
        <w:rPr>
          <w:rFonts w:hint="eastAsia" w:ascii="黑体" w:hAnsi="黑体" w:eastAsia="黑体" w:cs="黑体"/>
          <w:color w:val="000000"/>
          <w:sz w:val="24"/>
          <w:szCs w:val="24"/>
          <w:shd w:val="clear" w:color="auto" w:fill="FFFFFF"/>
        </w:rPr>
        <w:t>菲利普斯曲线的提出菲利普斯曲线的政策含义</w:t>
      </w:r>
    </w:p>
    <w:p w14:paraId="5B5832F8">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614856AA">
      <w:pPr>
        <w:widowControl/>
        <w:snapToGrid w:val="0"/>
        <w:jc w:val="center"/>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w:t>
      </w:r>
      <w:r>
        <w:rPr>
          <w:rFonts w:hint="eastAsia" w:ascii="黑体" w:hAnsi="黑体" w:eastAsia="黑体" w:cs="黑体"/>
          <w:b/>
          <w:bCs/>
          <w:kern w:val="0"/>
          <w:sz w:val="36"/>
          <w:szCs w:val="36"/>
        </w:rPr>
        <w:t>《统计学》</w:t>
      </w:r>
    </w:p>
    <w:p w14:paraId="5CCC54B9">
      <w:pPr>
        <w:adjustRightInd w:val="0"/>
        <w:snapToGrid w:val="0"/>
        <w:jc w:val="center"/>
        <w:rPr>
          <w:rFonts w:hint="eastAsia" w:ascii="黑体" w:hAnsi="黑体" w:eastAsia="黑体" w:cs="黑体"/>
          <w:color w:val="000000"/>
          <w:sz w:val="24"/>
          <w:szCs w:val="24"/>
        </w:rPr>
      </w:pPr>
      <w:r>
        <w:rPr>
          <w:rFonts w:hint="eastAsia" w:ascii="黑体" w:hAnsi="黑体" w:eastAsia="黑体" w:cs="黑体"/>
          <w:color w:val="000000"/>
          <w:sz w:val="24"/>
          <w:szCs w:val="24"/>
        </w:rPr>
        <w:t>一、名词解释（4题，每题5分，共20分）</w:t>
      </w:r>
    </w:p>
    <w:p w14:paraId="411DEA55">
      <w:pPr>
        <w:adjustRightInd w:val="0"/>
        <w:snapToGrid w:val="0"/>
        <w:jc w:val="center"/>
        <w:rPr>
          <w:rFonts w:hint="eastAsia" w:ascii="黑体" w:hAnsi="黑体" w:eastAsia="黑体" w:cs="黑体"/>
          <w:color w:val="000000"/>
          <w:sz w:val="24"/>
          <w:szCs w:val="24"/>
        </w:rPr>
      </w:pPr>
      <w:r>
        <w:rPr>
          <w:rFonts w:hint="eastAsia" w:ascii="黑体" w:hAnsi="黑体" w:eastAsia="黑体" w:cs="黑体"/>
          <w:color w:val="000000"/>
          <w:sz w:val="24"/>
          <w:szCs w:val="24"/>
        </w:rPr>
        <w:t>二、计算与分析</w:t>
      </w:r>
      <w:r>
        <w:rPr>
          <w:rFonts w:hint="eastAsia" w:ascii="黑体" w:hAnsi="黑体" w:eastAsia="黑体" w:cs="黑体"/>
          <w:sz w:val="24"/>
          <w:szCs w:val="24"/>
        </w:rPr>
        <w:t>（3题，共50分）</w:t>
      </w:r>
    </w:p>
    <w:p w14:paraId="3CD57E94">
      <w:pPr>
        <w:adjustRightInd w:val="0"/>
        <w:snapToGrid w:val="0"/>
        <w:jc w:val="center"/>
        <w:rPr>
          <w:rFonts w:hint="eastAsia" w:ascii="黑体" w:hAnsi="黑体" w:eastAsia="黑体" w:cs="黑体"/>
          <w:color w:val="000000"/>
          <w:sz w:val="24"/>
          <w:szCs w:val="24"/>
        </w:rPr>
      </w:pPr>
      <w:r>
        <w:rPr>
          <w:rFonts w:hint="eastAsia" w:ascii="黑体" w:hAnsi="黑体" w:eastAsia="黑体" w:cs="黑体"/>
          <w:color w:val="000000"/>
          <w:sz w:val="24"/>
          <w:szCs w:val="24"/>
        </w:rPr>
        <w:t>三、简述题（2题，每题15分，共30分）</w:t>
      </w:r>
    </w:p>
    <w:p w14:paraId="3D0A9EB4">
      <w:pPr>
        <w:adjustRightInd w:val="0"/>
        <w:snapToGrid w:val="0"/>
        <w:jc w:val="center"/>
        <w:rPr>
          <w:rFonts w:hint="eastAsia" w:ascii="黑体" w:hAnsi="黑体" w:eastAsia="黑体" w:cs="黑体"/>
          <w:color w:val="000000"/>
          <w:sz w:val="24"/>
          <w:szCs w:val="24"/>
          <w:lang w:val="en-US" w:eastAsia="zh-CN"/>
        </w:rPr>
      </w:pPr>
    </w:p>
    <w:p w14:paraId="3CD7CD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3209231A">
      <w:pPr>
        <w:shd w:val="solid" w:color="FFFFFF" w:fill="auto"/>
        <w:autoSpaceDN w:val="0"/>
        <w:adjustRightInd w:val="0"/>
        <w:snapToGrid w:val="0"/>
        <w:jc w:val="center"/>
        <w:rPr>
          <w:rFonts w:hint="eastAsia" w:ascii="黑体" w:hAnsi="黑体" w:eastAsia="黑体" w:cs="黑体"/>
          <w:sz w:val="24"/>
          <w:szCs w:val="24"/>
          <w:shd w:val="clear" w:color="auto" w:fill="FFFFFF"/>
        </w:rPr>
      </w:pPr>
      <w:r>
        <w:rPr>
          <w:rFonts w:hint="eastAsia" w:ascii="黑体" w:hAnsi="黑体" w:eastAsia="黑体" w:cs="黑体"/>
          <w:sz w:val="24"/>
          <w:szCs w:val="24"/>
          <w:shd w:val="clear" w:color="auto" w:fill="FFFFFF"/>
        </w:rPr>
        <w:t>刘照德等，《统计学》，西南大学出版社，2023.</w:t>
      </w:r>
    </w:p>
    <w:p w14:paraId="5443D597">
      <w:pPr>
        <w:shd w:val="solid" w:color="FFFFFF" w:fill="auto"/>
        <w:autoSpaceDN w:val="0"/>
        <w:adjustRightInd w:val="0"/>
        <w:snapToGrid w:val="0"/>
        <w:jc w:val="center"/>
        <w:rPr>
          <w:rFonts w:hint="eastAsia" w:ascii="黑体" w:hAnsi="黑体" w:eastAsia="黑体" w:cs="黑体"/>
          <w:sz w:val="24"/>
          <w:szCs w:val="24"/>
          <w:shd w:val="clear" w:color="auto" w:fill="FFFFFF"/>
          <w:lang w:val="en-US" w:eastAsia="zh-CN"/>
        </w:rPr>
      </w:pPr>
    </w:p>
    <w:p w14:paraId="6BA8BFF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4BA36EF0">
      <w:pPr>
        <w:adjustRightInd w:val="0"/>
        <w:snapToGrid w:val="0"/>
        <w:rPr>
          <w:rFonts w:hint="eastAsia" w:ascii="黑体" w:hAnsi="黑体" w:eastAsia="黑体" w:cs="黑体"/>
          <w:b/>
          <w:bCs/>
          <w:color w:val="000000"/>
          <w:kern w:val="0"/>
          <w:sz w:val="24"/>
          <w:szCs w:val="24"/>
        </w:rPr>
      </w:pPr>
      <w:r>
        <w:rPr>
          <w:rFonts w:hint="eastAsia" w:ascii="黑体" w:hAnsi="黑体" w:eastAsia="黑体" w:cs="黑体"/>
          <w:b/>
          <w:bCs/>
          <w:color w:val="000000"/>
          <w:kern w:val="0"/>
          <w:sz w:val="24"/>
          <w:szCs w:val="24"/>
        </w:rPr>
        <w:t>《统计学》考试大纲概述：</w:t>
      </w:r>
    </w:p>
    <w:p w14:paraId="48C415AD">
      <w:pPr>
        <w:ind w:firstLine="480" w:firstLineChars="200"/>
        <w:rPr>
          <w:rFonts w:hint="eastAsia" w:ascii="黑体" w:hAnsi="黑体" w:eastAsia="黑体" w:cs="黑体"/>
          <w:sz w:val="24"/>
          <w:szCs w:val="24"/>
        </w:rPr>
      </w:pPr>
      <w:r>
        <w:rPr>
          <w:rFonts w:hint="eastAsia" w:ascii="黑体" w:hAnsi="黑体" w:eastAsia="黑体" w:cs="黑体"/>
          <w:sz w:val="24"/>
          <w:szCs w:val="24"/>
        </w:rPr>
        <w:t>本科目考试的目的主要在于考查应试考生在大学阶段对统计学基本理论方法的学习理解、掌握与运用情况。通过考试，能够测试出考生对统计分析过程中基本概念、分类、理论方法及运用要求的熟练程度，为更准确地选出有方向研究潜力的考生提供依据。</w:t>
      </w:r>
    </w:p>
    <w:p w14:paraId="7D8579A7">
      <w:pPr>
        <w:widowControl/>
        <w:spacing w:line="400" w:lineRule="exact"/>
        <w:jc w:val="left"/>
        <w:rPr>
          <w:rFonts w:hint="eastAsia" w:ascii="黑体" w:hAnsi="黑体" w:eastAsia="黑体" w:cs="黑体"/>
        </w:rPr>
      </w:pPr>
      <w:r>
        <w:rPr>
          <w:rFonts w:hint="eastAsia" w:ascii="黑体" w:hAnsi="黑体" w:eastAsia="黑体" w:cs="黑体"/>
          <w:sz w:val="24"/>
          <w:szCs w:val="24"/>
        </w:rPr>
        <w:t>　　</w:t>
      </w:r>
      <w:r>
        <w:rPr>
          <w:rFonts w:hint="eastAsia" w:ascii="黑体" w:hAnsi="黑体" w:eastAsia="黑体" w:cs="黑体"/>
          <w:b/>
        </w:rPr>
        <w:t>第一章  绪论</w:t>
      </w:r>
    </w:p>
    <w:p w14:paraId="03711990">
      <w:pPr>
        <w:ind w:firstLine="480" w:firstLineChars="200"/>
        <w:rPr>
          <w:rFonts w:hint="eastAsia" w:ascii="黑体" w:hAnsi="黑体" w:eastAsia="黑体" w:cs="黑体"/>
          <w:sz w:val="24"/>
          <w:szCs w:val="24"/>
        </w:rPr>
      </w:pPr>
      <w:r>
        <w:rPr>
          <w:rFonts w:hint="eastAsia" w:ascii="黑体" w:hAnsi="黑体" w:eastAsia="黑体" w:cs="黑体"/>
          <w:sz w:val="24"/>
          <w:szCs w:val="24"/>
        </w:rPr>
        <w:t>●统计学的含义和作用</w:t>
      </w:r>
    </w:p>
    <w:p w14:paraId="6827A2F4">
      <w:pPr>
        <w:ind w:firstLine="480" w:firstLineChars="200"/>
        <w:rPr>
          <w:rFonts w:hint="eastAsia" w:ascii="黑体" w:hAnsi="黑体" w:eastAsia="黑体" w:cs="黑体"/>
          <w:sz w:val="24"/>
          <w:szCs w:val="24"/>
        </w:rPr>
      </w:pPr>
      <w:r>
        <w:rPr>
          <w:rFonts w:hint="eastAsia" w:ascii="黑体" w:hAnsi="黑体" w:eastAsia="黑体" w:cs="黑体"/>
          <w:sz w:val="24"/>
          <w:szCs w:val="24"/>
        </w:rPr>
        <w:t>●统计学的基本概念</w:t>
      </w:r>
    </w:p>
    <w:p w14:paraId="0B49D82A">
      <w:pPr>
        <w:autoSpaceDE w:val="0"/>
        <w:autoSpaceDN w:val="0"/>
        <w:adjustRightInd w:val="0"/>
        <w:spacing w:line="400" w:lineRule="exact"/>
        <w:ind w:firstLine="211" w:firstLineChars="100"/>
        <w:rPr>
          <w:rFonts w:hint="eastAsia" w:ascii="黑体" w:hAnsi="黑体" w:eastAsia="黑体" w:cs="黑体"/>
        </w:rPr>
      </w:pPr>
      <w:r>
        <w:rPr>
          <w:rFonts w:hint="eastAsia" w:ascii="黑体" w:hAnsi="黑体" w:eastAsia="黑体" w:cs="黑体"/>
          <w:b/>
        </w:rPr>
        <w:t>第二章  收集数据</w:t>
      </w:r>
    </w:p>
    <w:p w14:paraId="3DB5622B">
      <w:pPr>
        <w:ind w:firstLine="480" w:firstLineChars="200"/>
        <w:rPr>
          <w:rFonts w:hint="eastAsia" w:ascii="黑体" w:hAnsi="黑体" w:eastAsia="黑体" w:cs="黑体"/>
          <w:sz w:val="24"/>
          <w:szCs w:val="24"/>
        </w:rPr>
      </w:pPr>
      <w:r>
        <w:rPr>
          <w:rFonts w:hint="eastAsia" w:ascii="黑体" w:hAnsi="黑体" w:eastAsia="黑体" w:cs="黑体"/>
          <w:sz w:val="24"/>
          <w:szCs w:val="24"/>
        </w:rPr>
        <w:t>● 统计调查方案设计</w:t>
      </w:r>
    </w:p>
    <w:p w14:paraId="040D3D57">
      <w:pPr>
        <w:ind w:firstLine="480" w:firstLineChars="200"/>
        <w:rPr>
          <w:rFonts w:hint="eastAsia" w:ascii="黑体" w:hAnsi="黑体" w:eastAsia="黑体" w:cs="黑体"/>
          <w:sz w:val="24"/>
          <w:szCs w:val="24"/>
        </w:rPr>
      </w:pPr>
      <w:r>
        <w:rPr>
          <w:rFonts w:hint="eastAsia" w:ascii="黑体" w:hAnsi="黑体" w:eastAsia="黑体" w:cs="黑体"/>
          <w:sz w:val="24"/>
          <w:szCs w:val="24"/>
        </w:rPr>
        <w:t>● 数据收集来源</w:t>
      </w:r>
    </w:p>
    <w:p w14:paraId="386C3D02">
      <w:pPr>
        <w:ind w:firstLine="480" w:firstLineChars="200"/>
        <w:rPr>
          <w:rFonts w:hint="eastAsia" w:ascii="黑体" w:hAnsi="黑体" w:eastAsia="黑体" w:cs="黑体"/>
          <w:sz w:val="24"/>
          <w:szCs w:val="24"/>
        </w:rPr>
      </w:pPr>
      <w:r>
        <w:rPr>
          <w:rFonts w:hint="eastAsia" w:ascii="黑体" w:hAnsi="黑体" w:eastAsia="黑体" w:cs="黑体"/>
          <w:sz w:val="24"/>
          <w:szCs w:val="24"/>
        </w:rPr>
        <w:t>●原始数据的收集</w:t>
      </w:r>
    </w:p>
    <w:p w14:paraId="3C80C7F1">
      <w:pPr>
        <w:ind w:firstLine="480" w:firstLineChars="200"/>
        <w:rPr>
          <w:rFonts w:hint="eastAsia" w:ascii="黑体" w:hAnsi="黑体" w:eastAsia="黑体" w:cs="黑体"/>
          <w:sz w:val="24"/>
          <w:szCs w:val="24"/>
        </w:rPr>
      </w:pPr>
      <w:r>
        <w:rPr>
          <w:rFonts w:hint="eastAsia" w:ascii="黑体" w:hAnsi="黑体" w:eastAsia="黑体" w:cs="黑体"/>
          <w:sz w:val="24"/>
          <w:szCs w:val="24"/>
        </w:rPr>
        <w:t>● 统计数据的质量</w:t>
      </w:r>
    </w:p>
    <w:p w14:paraId="1278CD29">
      <w:pPr>
        <w:autoSpaceDE w:val="0"/>
        <w:autoSpaceDN w:val="0"/>
        <w:adjustRightInd w:val="0"/>
        <w:spacing w:line="400" w:lineRule="exact"/>
        <w:ind w:firstLine="211" w:firstLineChars="100"/>
        <w:rPr>
          <w:rFonts w:hint="eastAsia" w:ascii="黑体" w:hAnsi="黑体" w:eastAsia="黑体" w:cs="黑体"/>
          <w:b/>
        </w:rPr>
      </w:pPr>
      <w:r>
        <w:rPr>
          <w:rFonts w:hint="eastAsia" w:ascii="黑体" w:hAnsi="黑体" w:eastAsia="黑体" w:cs="黑体"/>
          <w:b/>
        </w:rPr>
        <w:t>第三章  数据分布特征</w:t>
      </w:r>
    </w:p>
    <w:p w14:paraId="792127D8">
      <w:pPr>
        <w:ind w:firstLine="480" w:firstLineChars="200"/>
        <w:rPr>
          <w:rFonts w:hint="eastAsia" w:ascii="黑体" w:hAnsi="黑体" w:eastAsia="黑体" w:cs="黑体"/>
          <w:sz w:val="24"/>
          <w:szCs w:val="24"/>
        </w:rPr>
      </w:pPr>
      <w:r>
        <w:rPr>
          <w:rFonts w:hint="eastAsia" w:ascii="黑体" w:hAnsi="黑体" w:eastAsia="黑体" w:cs="黑体"/>
          <w:sz w:val="24"/>
          <w:szCs w:val="24"/>
        </w:rPr>
        <w:t>●数据总体规模的测定</w:t>
      </w:r>
    </w:p>
    <w:p w14:paraId="4B4C255A">
      <w:pPr>
        <w:ind w:firstLine="480" w:firstLineChars="200"/>
        <w:rPr>
          <w:rFonts w:hint="eastAsia" w:ascii="黑体" w:hAnsi="黑体" w:eastAsia="黑体" w:cs="黑体"/>
          <w:sz w:val="24"/>
          <w:szCs w:val="24"/>
        </w:rPr>
      </w:pPr>
      <w:r>
        <w:rPr>
          <w:rFonts w:hint="eastAsia" w:ascii="黑体" w:hAnsi="黑体" w:eastAsia="黑体" w:cs="黑体"/>
          <w:sz w:val="24"/>
          <w:szCs w:val="24"/>
        </w:rPr>
        <w:t>●数据对比关系的测定</w:t>
      </w:r>
    </w:p>
    <w:p w14:paraId="6964D075">
      <w:pPr>
        <w:rPr>
          <w:rFonts w:hint="eastAsia" w:ascii="黑体" w:hAnsi="黑体" w:eastAsia="黑体" w:cs="黑体"/>
          <w:sz w:val="24"/>
          <w:szCs w:val="24"/>
        </w:rPr>
      </w:pPr>
      <w:r>
        <w:rPr>
          <w:rFonts w:hint="eastAsia" w:ascii="黑体" w:hAnsi="黑体" w:eastAsia="黑体" w:cs="黑体"/>
          <w:sz w:val="24"/>
          <w:szCs w:val="24"/>
        </w:rPr>
        <w:t>　　●数据集中趋势的测定</w:t>
      </w:r>
    </w:p>
    <w:p w14:paraId="773D28A9">
      <w:pPr>
        <w:ind w:firstLine="480"/>
        <w:rPr>
          <w:rFonts w:hint="eastAsia" w:ascii="黑体" w:hAnsi="黑体" w:eastAsia="黑体" w:cs="黑体"/>
          <w:sz w:val="24"/>
          <w:szCs w:val="24"/>
        </w:rPr>
      </w:pPr>
      <w:r>
        <w:rPr>
          <w:rFonts w:hint="eastAsia" w:ascii="黑体" w:hAnsi="黑体" w:eastAsia="黑体" w:cs="黑体"/>
          <w:sz w:val="24"/>
          <w:szCs w:val="24"/>
        </w:rPr>
        <w:t>●数据离散程度的测定</w:t>
      </w:r>
    </w:p>
    <w:p w14:paraId="3A15A5DE">
      <w:pPr>
        <w:ind w:firstLine="480"/>
        <w:rPr>
          <w:rFonts w:hint="eastAsia" w:ascii="黑体" w:hAnsi="黑体" w:eastAsia="黑体" w:cs="黑体"/>
          <w:sz w:val="24"/>
          <w:szCs w:val="24"/>
        </w:rPr>
      </w:pPr>
      <w:r>
        <w:rPr>
          <w:rFonts w:hint="eastAsia" w:ascii="黑体" w:hAnsi="黑体" w:eastAsia="黑体" w:cs="黑体"/>
          <w:sz w:val="24"/>
          <w:szCs w:val="24"/>
        </w:rPr>
        <w:t>●数据分布形态的测定</w:t>
      </w:r>
    </w:p>
    <w:p w14:paraId="4650E8F7">
      <w:pPr>
        <w:autoSpaceDE w:val="0"/>
        <w:autoSpaceDN w:val="0"/>
        <w:adjustRightInd w:val="0"/>
        <w:spacing w:line="400" w:lineRule="exact"/>
        <w:ind w:firstLine="207" w:firstLineChars="98"/>
        <w:rPr>
          <w:rFonts w:hint="eastAsia" w:ascii="黑体" w:hAnsi="黑体" w:eastAsia="黑体" w:cs="黑体"/>
          <w:b/>
        </w:rPr>
      </w:pPr>
      <w:r>
        <w:rPr>
          <w:rFonts w:hint="eastAsia" w:ascii="黑体" w:hAnsi="黑体" w:eastAsia="黑体" w:cs="黑体"/>
          <w:b/>
        </w:rPr>
        <w:t>第四章 统计量及其分布</w:t>
      </w:r>
    </w:p>
    <w:p w14:paraId="328CEF30">
      <w:pPr>
        <w:ind w:firstLine="480" w:firstLineChars="200"/>
        <w:rPr>
          <w:rFonts w:hint="eastAsia" w:ascii="黑体" w:hAnsi="黑体" w:eastAsia="黑体" w:cs="黑体"/>
          <w:sz w:val="24"/>
          <w:szCs w:val="24"/>
        </w:rPr>
      </w:pPr>
      <w:r>
        <w:rPr>
          <w:rFonts w:hint="eastAsia" w:ascii="黑体" w:hAnsi="黑体" w:eastAsia="黑体" w:cs="黑体"/>
          <w:sz w:val="24"/>
          <w:szCs w:val="24"/>
        </w:rPr>
        <w:t>●总体与样本</w:t>
      </w:r>
    </w:p>
    <w:p w14:paraId="0E5E188F">
      <w:pPr>
        <w:ind w:firstLine="480" w:firstLineChars="200"/>
        <w:rPr>
          <w:rFonts w:hint="eastAsia" w:ascii="黑体" w:hAnsi="黑体" w:eastAsia="黑体" w:cs="黑体"/>
          <w:sz w:val="24"/>
          <w:szCs w:val="24"/>
        </w:rPr>
      </w:pPr>
      <w:r>
        <w:rPr>
          <w:rFonts w:hint="eastAsia" w:ascii="黑体" w:hAnsi="黑体" w:eastAsia="黑体" w:cs="黑体"/>
          <w:sz w:val="24"/>
          <w:szCs w:val="24"/>
        </w:rPr>
        <w:t>●统计量与抽样分布</w:t>
      </w:r>
    </w:p>
    <w:p w14:paraId="61C3DD07">
      <w:pPr>
        <w:ind w:firstLine="480" w:firstLineChars="200"/>
        <w:rPr>
          <w:rFonts w:hint="eastAsia" w:ascii="黑体" w:hAnsi="黑体" w:eastAsia="黑体" w:cs="黑体"/>
          <w:sz w:val="24"/>
          <w:szCs w:val="24"/>
        </w:rPr>
      </w:pPr>
      <w:r>
        <w:rPr>
          <w:rFonts w:hint="eastAsia" w:ascii="黑体" w:hAnsi="黑体" w:eastAsia="黑体" w:cs="黑体"/>
          <w:sz w:val="24"/>
          <w:szCs w:val="24"/>
        </w:rPr>
        <w:t>●次序统计量及其分布</w:t>
      </w:r>
    </w:p>
    <w:p w14:paraId="6BF75E69">
      <w:pPr>
        <w:autoSpaceDE w:val="0"/>
        <w:autoSpaceDN w:val="0"/>
        <w:adjustRightInd w:val="0"/>
        <w:spacing w:line="400" w:lineRule="exact"/>
        <w:ind w:firstLine="207" w:firstLineChars="98"/>
        <w:rPr>
          <w:rFonts w:hint="eastAsia" w:ascii="黑体" w:hAnsi="黑体" w:eastAsia="黑体" w:cs="黑体"/>
          <w:b/>
        </w:rPr>
      </w:pPr>
      <w:r>
        <w:rPr>
          <w:rFonts w:hint="eastAsia" w:ascii="黑体" w:hAnsi="黑体" w:eastAsia="黑体" w:cs="黑体"/>
          <w:b/>
        </w:rPr>
        <w:t>第五章 参数估计</w:t>
      </w:r>
    </w:p>
    <w:p w14:paraId="36384C4A">
      <w:pPr>
        <w:ind w:firstLine="480" w:firstLineChars="200"/>
        <w:rPr>
          <w:rFonts w:hint="eastAsia" w:ascii="黑体" w:hAnsi="黑体" w:eastAsia="黑体" w:cs="黑体"/>
          <w:sz w:val="24"/>
          <w:szCs w:val="24"/>
        </w:rPr>
      </w:pPr>
      <w:r>
        <w:rPr>
          <w:rFonts w:hint="eastAsia" w:ascii="黑体" w:hAnsi="黑体" w:eastAsia="黑体" w:cs="黑体"/>
          <w:sz w:val="24"/>
          <w:szCs w:val="24"/>
        </w:rPr>
        <w:t>●点估计</w:t>
      </w:r>
    </w:p>
    <w:p w14:paraId="2442A95C">
      <w:pPr>
        <w:ind w:firstLine="480" w:firstLineChars="200"/>
        <w:rPr>
          <w:rFonts w:hint="eastAsia" w:ascii="黑体" w:hAnsi="黑体" w:eastAsia="黑体" w:cs="黑体"/>
          <w:sz w:val="24"/>
          <w:szCs w:val="24"/>
        </w:rPr>
      </w:pPr>
      <w:r>
        <w:rPr>
          <w:rFonts w:hint="eastAsia" w:ascii="黑体" w:hAnsi="黑体" w:eastAsia="黑体" w:cs="黑体"/>
          <w:sz w:val="24"/>
          <w:szCs w:val="24"/>
        </w:rPr>
        <w:t>●一个总体的区间估计</w:t>
      </w:r>
    </w:p>
    <w:p w14:paraId="5151CB32">
      <w:pPr>
        <w:ind w:firstLine="480" w:firstLineChars="200"/>
        <w:rPr>
          <w:rFonts w:hint="eastAsia" w:ascii="黑体" w:hAnsi="黑体" w:eastAsia="黑体" w:cs="黑体"/>
          <w:sz w:val="24"/>
          <w:szCs w:val="24"/>
        </w:rPr>
      </w:pPr>
      <w:r>
        <w:rPr>
          <w:rFonts w:hint="eastAsia" w:ascii="黑体" w:hAnsi="黑体" w:eastAsia="黑体" w:cs="黑体"/>
          <w:sz w:val="24"/>
          <w:szCs w:val="24"/>
        </w:rPr>
        <w:t>●两个个总体的区间估计</w:t>
      </w:r>
    </w:p>
    <w:p w14:paraId="15F343EE">
      <w:pPr>
        <w:ind w:firstLine="480" w:firstLineChars="200"/>
        <w:rPr>
          <w:rFonts w:hint="eastAsia" w:ascii="黑体" w:hAnsi="黑体" w:eastAsia="黑体" w:cs="黑体"/>
          <w:sz w:val="24"/>
          <w:szCs w:val="24"/>
        </w:rPr>
      </w:pPr>
      <w:r>
        <w:rPr>
          <w:rFonts w:hint="eastAsia" w:ascii="黑体" w:hAnsi="黑体" w:eastAsia="黑体" w:cs="黑体"/>
          <w:sz w:val="24"/>
          <w:szCs w:val="24"/>
        </w:rPr>
        <w:t>●样本容量的确定</w:t>
      </w:r>
    </w:p>
    <w:p w14:paraId="11A4A255">
      <w:pPr>
        <w:autoSpaceDE w:val="0"/>
        <w:autoSpaceDN w:val="0"/>
        <w:adjustRightInd w:val="0"/>
        <w:spacing w:line="400" w:lineRule="exact"/>
        <w:ind w:firstLine="207" w:firstLineChars="98"/>
        <w:rPr>
          <w:rFonts w:hint="eastAsia" w:ascii="黑体" w:hAnsi="黑体" w:eastAsia="黑体" w:cs="黑体"/>
          <w:b/>
        </w:rPr>
      </w:pPr>
      <w:r>
        <w:rPr>
          <w:rFonts w:hint="eastAsia" w:ascii="黑体" w:hAnsi="黑体" w:eastAsia="黑体" w:cs="黑体"/>
          <w:b/>
        </w:rPr>
        <w:t>第六章 假设检验</w:t>
      </w:r>
    </w:p>
    <w:p w14:paraId="72D113FC">
      <w:pPr>
        <w:ind w:firstLine="480" w:firstLineChars="200"/>
        <w:rPr>
          <w:rFonts w:hint="eastAsia" w:ascii="黑体" w:hAnsi="黑体" w:eastAsia="黑体" w:cs="黑体"/>
          <w:sz w:val="24"/>
          <w:szCs w:val="24"/>
        </w:rPr>
      </w:pPr>
      <w:r>
        <w:rPr>
          <w:rFonts w:hint="eastAsia" w:ascii="黑体" w:hAnsi="黑体" w:eastAsia="黑体" w:cs="黑体"/>
          <w:sz w:val="24"/>
          <w:szCs w:val="24"/>
        </w:rPr>
        <w:t>●假设检验的基本原理</w:t>
      </w:r>
    </w:p>
    <w:p w14:paraId="16EFFB24">
      <w:pPr>
        <w:ind w:firstLine="480" w:firstLineChars="200"/>
        <w:rPr>
          <w:rFonts w:hint="eastAsia" w:ascii="黑体" w:hAnsi="黑体" w:eastAsia="黑体" w:cs="黑体"/>
          <w:sz w:val="24"/>
          <w:szCs w:val="24"/>
        </w:rPr>
      </w:pPr>
      <w:r>
        <w:rPr>
          <w:rFonts w:hint="eastAsia" w:ascii="黑体" w:hAnsi="黑体" w:eastAsia="黑体" w:cs="黑体"/>
          <w:sz w:val="24"/>
          <w:szCs w:val="24"/>
        </w:rPr>
        <w:t>●一个总体参数的假设检验</w:t>
      </w:r>
    </w:p>
    <w:p w14:paraId="5A7B54BD">
      <w:pPr>
        <w:ind w:firstLine="480" w:firstLineChars="200"/>
        <w:rPr>
          <w:rFonts w:hint="eastAsia" w:ascii="黑体" w:hAnsi="黑体" w:eastAsia="黑体" w:cs="黑体"/>
          <w:sz w:val="24"/>
          <w:szCs w:val="24"/>
        </w:rPr>
      </w:pPr>
      <w:r>
        <w:rPr>
          <w:rFonts w:hint="eastAsia" w:ascii="黑体" w:hAnsi="黑体" w:eastAsia="黑体" w:cs="黑体"/>
          <w:sz w:val="24"/>
          <w:szCs w:val="24"/>
        </w:rPr>
        <w:t>●两个总体参数的假设检验</w:t>
      </w:r>
    </w:p>
    <w:p w14:paraId="659A3F26">
      <w:pPr>
        <w:autoSpaceDE w:val="0"/>
        <w:autoSpaceDN w:val="0"/>
        <w:adjustRightInd w:val="0"/>
        <w:spacing w:line="400" w:lineRule="exact"/>
        <w:ind w:firstLine="211" w:firstLineChars="100"/>
        <w:rPr>
          <w:rFonts w:hint="eastAsia" w:ascii="黑体" w:hAnsi="黑体" w:eastAsia="黑体" w:cs="黑体"/>
        </w:rPr>
      </w:pPr>
      <w:r>
        <w:rPr>
          <w:rFonts w:hint="eastAsia" w:ascii="黑体" w:hAnsi="黑体" w:eastAsia="黑体" w:cs="黑体"/>
          <w:b/>
        </w:rPr>
        <w:t>第七章 方差分析</w:t>
      </w:r>
    </w:p>
    <w:p w14:paraId="1B90E7E7">
      <w:pPr>
        <w:ind w:firstLine="480" w:firstLineChars="200"/>
        <w:rPr>
          <w:rFonts w:hint="eastAsia" w:ascii="黑体" w:hAnsi="黑体" w:eastAsia="黑体" w:cs="黑体"/>
          <w:sz w:val="24"/>
          <w:szCs w:val="24"/>
        </w:rPr>
      </w:pPr>
      <w:r>
        <w:rPr>
          <w:rFonts w:hint="eastAsia" w:ascii="黑体" w:hAnsi="黑体" w:eastAsia="黑体" w:cs="黑体"/>
          <w:sz w:val="24"/>
          <w:szCs w:val="24"/>
        </w:rPr>
        <w:t>●方差分析引论</w:t>
      </w:r>
    </w:p>
    <w:p w14:paraId="087FC89E">
      <w:pPr>
        <w:ind w:firstLine="480" w:firstLineChars="200"/>
        <w:rPr>
          <w:rFonts w:hint="eastAsia" w:ascii="黑体" w:hAnsi="黑体" w:eastAsia="黑体" w:cs="黑体"/>
          <w:sz w:val="24"/>
          <w:szCs w:val="24"/>
        </w:rPr>
      </w:pPr>
      <w:r>
        <w:rPr>
          <w:rFonts w:hint="eastAsia" w:ascii="黑体" w:hAnsi="黑体" w:eastAsia="黑体" w:cs="黑体"/>
          <w:sz w:val="24"/>
          <w:szCs w:val="24"/>
        </w:rPr>
        <w:t>●单因素方差分析</w:t>
      </w:r>
    </w:p>
    <w:p w14:paraId="7234FCAA">
      <w:pPr>
        <w:ind w:firstLine="480" w:firstLineChars="200"/>
        <w:rPr>
          <w:rFonts w:hint="eastAsia" w:ascii="黑体" w:hAnsi="黑体" w:eastAsia="黑体" w:cs="黑体"/>
          <w:sz w:val="24"/>
          <w:szCs w:val="24"/>
        </w:rPr>
      </w:pPr>
      <w:r>
        <w:rPr>
          <w:rFonts w:hint="eastAsia" w:ascii="黑体" w:hAnsi="黑体" w:eastAsia="黑体" w:cs="黑体"/>
          <w:sz w:val="24"/>
          <w:szCs w:val="24"/>
        </w:rPr>
        <w:t>●双因素方差分析</w:t>
      </w:r>
    </w:p>
    <w:p w14:paraId="10C5A6A7">
      <w:pPr>
        <w:autoSpaceDE w:val="0"/>
        <w:autoSpaceDN w:val="0"/>
        <w:adjustRightInd w:val="0"/>
        <w:spacing w:line="400" w:lineRule="exact"/>
        <w:ind w:firstLine="211" w:firstLineChars="100"/>
        <w:rPr>
          <w:rFonts w:hint="eastAsia" w:ascii="黑体" w:hAnsi="黑体" w:eastAsia="黑体" w:cs="黑体"/>
          <w:b/>
        </w:rPr>
      </w:pPr>
      <w:r>
        <w:rPr>
          <w:rFonts w:hint="eastAsia" w:ascii="黑体" w:hAnsi="黑体" w:eastAsia="黑体" w:cs="黑体"/>
          <w:b/>
        </w:rPr>
        <w:t>第八章  相关与回归分析</w:t>
      </w:r>
    </w:p>
    <w:p w14:paraId="283CC2A4">
      <w:pPr>
        <w:ind w:firstLine="480" w:firstLineChars="200"/>
        <w:rPr>
          <w:rFonts w:hint="eastAsia" w:ascii="黑体" w:hAnsi="黑体" w:eastAsia="黑体" w:cs="黑体"/>
          <w:sz w:val="24"/>
          <w:szCs w:val="24"/>
        </w:rPr>
      </w:pPr>
      <w:r>
        <w:rPr>
          <w:rFonts w:hint="eastAsia" w:ascii="黑体" w:hAnsi="黑体" w:eastAsia="黑体" w:cs="黑体"/>
          <w:sz w:val="24"/>
          <w:szCs w:val="24"/>
        </w:rPr>
        <w:t>●相关分析</w:t>
      </w:r>
    </w:p>
    <w:p w14:paraId="1B990512">
      <w:pPr>
        <w:ind w:firstLine="480" w:firstLineChars="200"/>
        <w:rPr>
          <w:rFonts w:hint="eastAsia" w:ascii="黑体" w:hAnsi="黑体" w:eastAsia="黑体" w:cs="黑体"/>
          <w:sz w:val="24"/>
          <w:szCs w:val="24"/>
        </w:rPr>
      </w:pPr>
      <w:r>
        <w:rPr>
          <w:rFonts w:hint="eastAsia" w:ascii="黑体" w:hAnsi="黑体" w:eastAsia="黑体" w:cs="黑体"/>
          <w:sz w:val="24"/>
          <w:szCs w:val="24"/>
        </w:rPr>
        <w:t>●一元线性回归</w:t>
      </w:r>
    </w:p>
    <w:p w14:paraId="3FF86CEE">
      <w:pPr>
        <w:ind w:firstLine="480" w:firstLineChars="200"/>
        <w:rPr>
          <w:rFonts w:hint="eastAsia" w:ascii="黑体" w:hAnsi="黑体" w:eastAsia="黑体" w:cs="黑体"/>
          <w:sz w:val="24"/>
          <w:szCs w:val="24"/>
        </w:rPr>
      </w:pPr>
      <w:r>
        <w:rPr>
          <w:rFonts w:hint="eastAsia" w:ascii="黑体" w:hAnsi="黑体" w:eastAsia="黑体" w:cs="黑体"/>
          <w:sz w:val="24"/>
          <w:szCs w:val="24"/>
        </w:rPr>
        <w:t>●多元线性回归</w:t>
      </w:r>
    </w:p>
    <w:p w14:paraId="3E181FE0">
      <w:pPr>
        <w:autoSpaceDE w:val="0"/>
        <w:autoSpaceDN w:val="0"/>
        <w:adjustRightInd w:val="0"/>
        <w:spacing w:line="400" w:lineRule="exact"/>
        <w:ind w:firstLine="211" w:firstLineChars="100"/>
        <w:rPr>
          <w:rFonts w:hint="eastAsia" w:ascii="黑体" w:hAnsi="黑体" w:eastAsia="黑体" w:cs="黑体"/>
          <w:b/>
        </w:rPr>
      </w:pPr>
      <w:r>
        <w:rPr>
          <w:rFonts w:hint="eastAsia" w:ascii="黑体" w:hAnsi="黑体" w:eastAsia="黑体" w:cs="黑体"/>
          <w:b/>
        </w:rPr>
        <w:t>第九章  时间序列分析</w:t>
      </w:r>
    </w:p>
    <w:p w14:paraId="0EDBDF58">
      <w:pPr>
        <w:ind w:firstLine="480" w:firstLineChars="200"/>
        <w:rPr>
          <w:rFonts w:hint="eastAsia" w:ascii="黑体" w:hAnsi="黑体" w:eastAsia="黑体" w:cs="黑体"/>
          <w:sz w:val="24"/>
          <w:szCs w:val="24"/>
        </w:rPr>
      </w:pPr>
      <w:r>
        <w:rPr>
          <w:rFonts w:hint="eastAsia" w:ascii="黑体" w:hAnsi="黑体" w:eastAsia="黑体" w:cs="黑体"/>
          <w:sz w:val="24"/>
          <w:szCs w:val="24"/>
        </w:rPr>
        <w:t>●时间序列的基本概念</w:t>
      </w:r>
    </w:p>
    <w:p w14:paraId="3FA9C604">
      <w:pPr>
        <w:ind w:firstLine="480" w:firstLineChars="200"/>
        <w:rPr>
          <w:rFonts w:hint="eastAsia" w:ascii="黑体" w:hAnsi="黑体" w:eastAsia="黑体" w:cs="黑体"/>
          <w:sz w:val="24"/>
          <w:szCs w:val="24"/>
        </w:rPr>
      </w:pPr>
      <w:r>
        <w:rPr>
          <w:rFonts w:hint="eastAsia" w:ascii="黑体" w:hAnsi="黑体" w:eastAsia="黑体" w:cs="黑体"/>
          <w:sz w:val="24"/>
          <w:szCs w:val="24"/>
        </w:rPr>
        <w:t>●时间序列的描述性分析</w:t>
      </w:r>
    </w:p>
    <w:p w14:paraId="09AE9BE8">
      <w:pPr>
        <w:ind w:firstLine="480" w:firstLineChars="200"/>
        <w:rPr>
          <w:rFonts w:hint="eastAsia" w:ascii="黑体" w:hAnsi="黑体" w:eastAsia="黑体" w:cs="黑体"/>
          <w:sz w:val="24"/>
          <w:szCs w:val="24"/>
        </w:rPr>
      </w:pPr>
      <w:r>
        <w:rPr>
          <w:rFonts w:hint="eastAsia" w:ascii="黑体" w:hAnsi="黑体" w:eastAsia="黑体" w:cs="黑体"/>
          <w:sz w:val="24"/>
          <w:szCs w:val="24"/>
        </w:rPr>
        <w:t>●时间序列的预测</w:t>
      </w:r>
    </w:p>
    <w:p w14:paraId="6920357F">
      <w:pPr>
        <w:autoSpaceDE w:val="0"/>
        <w:autoSpaceDN w:val="0"/>
        <w:adjustRightInd w:val="0"/>
        <w:spacing w:line="400" w:lineRule="exact"/>
        <w:ind w:firstLine="207" w:firstLineChars="98"/>
        <w:rPr>
          <w:rFonts w:hint="eastAsia" w:ascii="黑体" w:hAnsi="黑体" w:eastAsia="黑体" w:cs="黑体"/>
        </w:rPr>
      </w:pPr>
      <w:r>
        <w:rPr>
          <w:rFonts w:hint="eastAsia" w:ascii="黑体" w:hAnsi="黑体" w:eastAsia="黑体" w:cs="黑体"/>
          <w:b/>
        </w:rPr>
        <w:t>第十章  指数分析</w:t>
      </w:r>
    </w:p>
    <w:p w14:paraId="557A662D">
      <w:pPr>
        <w:ind w:firstLine="480" w:firstLineChars="200"/>
        <w:rPr>
          <w:rFonts w:hint="eastAsia" w:ascii="黑体" w:hAnsi="黑体" w:eastAsia="黑体" w:cs="黑体"/>
          <w:sz w:val="24"/>
          <w:szCs w:val="24"/>
        </w:rPr>
      </w:pPr>
      <w:r>
        <w:rPr>
          <w:rFonts w:hint="eastAsia" w:ascii="黑体" w:hAnsi="黑体" w:eastAsia="黑体" w:cs="黑体"/>
          <w:sz w:val="24"/>
          <w:szCs w:val="24"/>
        </w:rPr>
        <w:t>●指数的基本概念</w:t>
      </w:r>
    </w:p>
    <w:p w14:paraId="7A411E57">
      <w:pPr>
        <w:ind w:firstLine="480" w:firstLineChars="200"/>
        <w:rPr>
          <w:rFonts w:hint="eastAsia" w:ascii="黑体" w:hAnsi="黑体" w:eastAsia="黑体" w:cs="黑体"/>
          <w:sz w:val="24"/>
          <w:szCs w:val="24"/>
        </w:rPr>
      </w:pPr>
      <w:r>
        <w:rPr>
          <w:rFonts w:hint="eastAsia" w:ascii="黑体" w:hAnsi="黑体" w:eastAsia="黑体" w:cs="黑体"/>
          <w:sz w:val="24"/>
          <w:szCs w:val="24"/>
        </w:rPr>
        <w:t>●综合指数</w:t>
      </w:r>
    </w:p>
    <w:p w14:paraId="621FA062">
      <w:pPr>
        <w:ind w:firstLine="480" w:firstLineChars="200"/>
        <w:rPr>
          <w:rFonts w:hint="eastAsia" w:ascii="黑体" w:hAnsi="黑体" w:eastAsia="黑体" w:cs="黑体"/>
          <w:sz w:val="24"/>
          <w:szCs w:val="24"/>
        </w:rPr>
      </w:pPr>
      <w:r>
        <w:rPr>
          <w:rFonts w:hint="eastAsia" w:ascii="黑体" w:hAnsi="黑体" w:eastAsia="黑体" w:cs="黑体"/>
          <w:sz w:val="24"/>
          <w:szCs w:val="24"/>
        </w:rPr>
        <w:t>●平均指数</w:t>
      </w:r>
    </w:p>
    <w:p w14:paraId="35F771E2">
      <w:pPr>
        <w:ind w:firstLine="480" w:firstLineChars="200"/>
        <w:rPr>
          <w:rFonts w:hint="eastAsia" w:ascii="黑体" w:hAnsi="黑体" w:eastAsia="黑体" w:cs="黑体"/>
          <w:sz w:val="24"/>
          <w:szCs w:val="24"/>
        </w:rPr>
      </w:pPr>
      <w:r>
        <w:rPr>
          <w:rFonts w:hint="eastAsia" w:ascii="黑体" w:hAnsi="黑体" w:eastAsia="黑体" w:cs="黑体"/>
          <w:sz w:val="24"/>
          <w:szCs w:val="24"/>
        </w:rPr>
        <w:t>●指数体系与因素分析</w:t>
      </w:r>
    </w:p>
    <w:p w14:paraId="2DABE2D9">
      <w:pPr>
        <w:rPr>
          <w:rFonts w:hint="eastAsia" w:ascii="黑体" w:hAnsi="黑体" w:eastAsia="黑体" w:cs="黑体"/>
          <w:sz w:val="24"/>
          <w:szCs w:val="24"/>
        </w:rPr>
      </w:pPr>
    </w:p>
    <w:p w14:paraId="5F28C03F">
      <w:pPr>
        <w:rPr>
          <w:rFonts w:hint="eastAsia" w:ascii="黑体" w:hAnsi="黑体" w:eastAsia="黑体" w:cs="黑体"/>
          <w:sz w:val="24"/>
          <w:szCs w:val="24"/>
        </w:rPr>
      </w:pPr>
    </w:p>
    <w:p w14:paraId="191E2ACA">
      <w:pPr>
        <w:rPr>
          <w:rFonts w:hint="eastAsia" w:ascii="黑体" w:hAnsi="黑体" w:eastAsia="黑体" w:cs="黑体"/>
          <w:lang w:val="en-US" w:eastAsia="zh-CN"/>
        </w:rPr>
      </w:pPr>
    </w:p>
    <w:p w14:paraId="5A331E66">
      <w:pPr>
        <w:rPr>
          <w:rFonts w:hint="eastAsia" w:ascii="黑体" w:hAnsi="黑体" w:eastAsia="黑体" w:cs="黑体"/>
          <w:sz w:val="24"/>
          <w:szCs w:val="32"/>
          <w:lang w:val="en-US" w:eastAsia="zh-CN"/>
        </w:rPr>
      </w:pPr>
    </w:p>
    <w:p w14:paraId="4DD2247B">
      <w:pPr>
        <w:jc w:val="center"/>
        <w:rPr>
          <w:rFonts w:hint="eastAsia" w:ascii="黑体" w:hAnsi="黑体" w:eastAsia="黑体" w:cs="黑体"/>
          <w:sz w:val="24"/>
          <w:szCs w:val="32"/>
          <w:lang w:val="en-US" w:eastAsia="zh-CN"/>
        </w:rPr>
      </w:pPr>
      <w:r>
        <w:rPr>
          <w:rFonts w:hint="eastAsia" w:ascii="黑体" w:hAnsi="黑体" w:eastAsia="黑体" w:cs="黑体"/>
          <w:sz w:val="24"/>
          <w:szCs w:val="32"/>
          <w:lang w:val="en-US" w:eastAsia="zh-CN"/>
        </w:rPr>
        <w:t xml:space="preserve">                                   </w:t>
      </w:r>
    </w:p>
    <w:p w14:paraId="7819524E">
      <w:pPr>
        <w:rPr>
          <w:rFonts w:hint="eastAsia" w:ascii="黑体" w:hAnsi="黑体" w:eastAsia="黑体" w:cs="黑体"/>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F67E5"/>
    <w:multiLevelType w:val="multilevel"/>
    <w:tmpl w:val="117F67E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23594DB9"/>
    <w:multiLevelType w:val="multilevel"/>
    <w:tmpl w:val="23594DB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86398B"/>
    <w:rsid w:val="2E625F3B"/>
    <w:rsid w:val="62685423"/>
    <w:rsid w:val="764B19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2016</Words>
  <Characters>2039</Characters>
  <Lines>0</Lines>
  <Paragraphs>0</Paragraphs>
  <TotalTime>0</TotalTime>
  <ScaleCrop>false</ScaleCrop>
  <LinksUpToDate>false</LinksUpToDate>
  <CharactersWithSpaces>2232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2026-05-25T07:46:00Z</dcterms:created>
  <dc:creator>郭影玲</dc:creator>
  <cp:lastModifiedBy>LENOVO</cp:lastModifiedBy>
  <cp:lastPrinted>2026-06-01T01:31:00Z</cp:lastPrinted>
  <dcterms:modified xsi:type="dcterms:W3CDTF">2026-09-26T09:39:04Z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eyJoZGlkIjoiZWI5ZDA3MTQ3OGY1NGEwNWNmYzY4MTYzMGJiNjQzYjUiLCJ1c2VySWQiOiIxNTA2MTk0MzE4In0=</vt:lpwstr>
  </property>
  <property fmtid="{D5CDD505-2E9C-101B-9397-08002B2CF9AE}" pid="4" name="ICV">
    <vt:lpwstr>41CB122A211B437282CCA4FD754F0F66_12</vt:lpwstr>
  </property>
</Properties>
</file>