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7AB13">
      <w:pPr>
        <w:jc w:val="both"/>
        <w:rPr>
          <w:rFonts w:hint="eastAsia"/>
          <w:sz w:val="24"/>
          <w:szCs w:val="32"/>
          <w:lang w:val="en-US" w:eastAsia="zh-CN"/>
        </w:rPr>
      </w:pPr>
    </w:p>
    <w:p w14:paraId="1C6B1C54">
      <w:pPr>
        <w:jc w:val="center"/>
        <w:rPr>
          <w:rFonts w:hint="eastAsia"/>
          <w:sz w:val="24"/>
          <w:szCs w:val="32"/>
          <w:lang w:val="en-US" w:eastAsia="zh-CN"/>
        </w:rPr>
      </w:pPr>
    </w:p>
    <w:p w14:paraId="5CE72F10">
      <w:pPr>
        <w:adjustRightInd w:val="0"/>
        <w:snapToGrid w:val="0"/>
        <w:jc w:val="center"/>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区域经济学（</w:t>
      </w:r>
      <w:r>
        <w:rPr>
          <w:rFonts w:hint="eastAsia" w:ascii="黑体" w:hAnsi="黑体" w:eastAsia="黑体" w:cs="黑体"/>
          <w:sz w:val="36"/>
          <w:szCs w:val="36"/>
        </w:rPr>
        <w:t>020202</w:t>
      </w:r>
      <w:r>
        <w:rPr>
          <w:rFonts w:hint="eastAsia" w:ascii="方正小标宋简体" w:hAnsi="方正小标宋简体" w:eastAsia="方正小标宋简体" w:cs="方正小标宋简体"/>
          <w:b/>
          <w:bCs w:val="0"/>
          <w:sz w:val="40"/>
          <w:szCs w:val="40"/>
          <w:lang w:val="en-US" w:eastAsia="zh-CN"/>
        </w:rPr>
        <w:t>）</w:t>
      </w:r>
    </w:p>
    <w:p w14:paraId="1692ABC5">
      <w:pPr>
        <w:keepNext w:val="0"/>
        <w:keepLines w:val="0"/>
        <w:pageBreakBefore w:val="0"/>
        <w:widowControl w:val="0"/>
        <w:kinsoku/>
        <w:wordWrap/>
        <w:overflowPunct/>
        <w:topLinePunct w:val="0"/>
        <w:autoSpaceDE/>
        <w:autoSpaceDN/>
        <w:bidi w:val="0"/>
        <w:adjustRightInd/>
        <w:snapToGrid/>
        <w:spacing w:beforeLines="0" w:afterLines="0" w:line="560" w:lineRule="exact"/>
        <w:ind w:firstLine="2409" w:firstLineChars="600"/>
        <w:jc w:val="both"/>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1ED3FBE7">
      <w:pPr>
        <w:adjustRightInd w:val="0"/>
        <w:snapToGrid w:val="0"/>
        <w:jc w:val="center"/>
        <w:rPr>
          <w:rFonts w:hint="eastAsia" w:ascii="方正小标宋简体" w:hAnsi="方正小标宋简体" w:eastAsia="方正小标宋简体" w:cs="方正小标宋简体"/>
          <w:b/>
          <w:bCs w:val="0"/>
          <w:sz w:val="40"/>
          <w:szCs w:val="40"/>
          <w:lang w:val="en-US" w:eastAsia="zh-CN"/>
        </w:rPr>
      </w:pPr>
    </w:p>
    <w:p w14:paraId="200986A9">
      <w:pPr>
        <w:widowControl/>
        <w:adjustRightInd w:val="0"/>
        <w:snapToGrid w:val="0"/>
        <w:jc w:val="center"/>
        <w:rPr>
          <w:rFonts w:hint="eastAsia" w:ascii="黑体" w:hAnsi="黑体" w:eastAsia="黑体" w:cs="黑体"/>
          <w:b/>
          <w:bCs w:val="0"/>
          <w:sz w:val="32"/>
          <w:szCs w:val="32"/>
          <w:lang w:val="en-US" w:eastAsia="zh-CN"/>
        </w:rPr>
      </w:pPr>
    </w:p>
    <w:p w14:paraId="52168AED">
      <w:pPr>
        <w:widowControl/>
        <w:adjustRightInd w:val="0"/>
        <w:snapToGrid w:val="0"/>
        <w:jc w:val="center"/>
        <w:rPr>
          <w:rFonts w:hint="eastAsia" w:ascii="宋体" w:hAnsi="宋体" w:cs="宋体"/>
          <w:b/>
          <w:color w:val="000000"/>
          <w:kern w:val="0"/>
          <w:sz w:val="24"/>
        </w:rPr>
      </w:pPr>
      <w:r>
        <w:rPr>
          <w:rFonts w:hint="eastAsia" w:ascii="黑体" w:hAnsi="黑体" w:eastAsia="黑体" w:cs="黑体"/>
          <w:b/>
          <w:bCs w:val="0"/>
          <w:sz w:val="32"/>
          <w:szCs w:val="32"/>
          <w:lang w:val="en-US" w:eastAsia="zh-CN"/>
        </w:rPr>
        <w:t>初试：《经济学基础》</w:t>
      </w:r>
    </w:p>
    <w:p w14:paraId="4B1A0AC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0D4D328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p>
    <w:p w14:paraId="2BC8E83A">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一、</w:t>
      </w:r>
      <w:r>
        <w:rPr>
          <w:rFonts w:hint="eastAsia" w:ascii="宋体" w:hAnsi="宋体" w:cs="宋体"/>
          <w:color w:val="000000"/>
          <w:sz w:val="24"/>
          <w:szCs w:val="21"/>
          <w:shd w:val="clear" w:color="auto" w:fill="FFFFFF"/>
        </w:rPr>
        <w:t>名词解释（6题，每题5分，共30分）</w:t>
      </w:r>
    </w:p>
    <w:p w14:paraId="079C5839">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二、</w:t>
      </w:r>
      <w:r>
        <w:rPr>
          <w:rFonts w:hint="eastAsia" w:ascii="宋体" w:hAnsi="宋体" w:cs="宋体"/>
          <w:color w:val="000000"/>
          <w:sz w:val="24"/>
          <w:szCs w:val="21"/>
          <w:shd w:val="clear" w:color="auto" w:fill="FFFFFF"/>
        </w:rPr>
        <w:t>简答题（6题，每题10分，共60分）</w:t>
      </w:r>
    </w:p>
    <w:p w14:paraId="6196ADBB">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三、</w:t>
      </w:r>
      <w:r>
        <w:rPr>
          <w:rFonts w:hint="eastAsia" w:ascii="宋体" w:hAnsi="宋体" w:cs="宋体"/>
          <w:color w:val="000000"/>
          <w:sz w:val="24"/>
          <w:szCs w:val="21"/>
          <w:shd w:val="clear" w:color="auto" w:fill="FFFFFF"/>
        </w:rPr>
        <w:t>论述题（2题，每题30分，共60分）</w:t>
      </w:r>
    </w:p>
    <w:p w14:paraId="10AB0EA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A7AB972">
      <w:pPr>
        <w:shd w:val="solid" w:color="FFFFFF" w:fill="auto"/>
        <w:autoSpaceDN w:val="0"/>
        <w:adjustRightInd w:val="0"/>
        <w:snapToGrid w:val="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334744B3">
      <w:pPr>
        <w:shd w:val="solid" w:color="FFFFFF" w:fill="auto"/>
        <w:autoSpaceDN w:val="0"/>
        <w:adjustRightInd w:val="0"/>
        <w:snapToGrid w:val="0"/>
        <w:rPr>
          <w:rFonts w:hint="eastAsia" w:ascii="黑体" w:hAnsi="黑体" w:eastAsia="黑体" w:cs="黑体"/>
          <w:b/>
          <w:bCs w:val="0"/>
          <w:sz w:val="32"/>
          <w:szCs w:val="32"/>
          <w:lang w:val="en-US" w:eastAsia="zh-CN"/>
        </w:rPr>
      </w:pPr>
    </w:p>
    <w:p w14:paraId="732A1A74">
      <w:pPr>
        <w:shd w:val="solid" w:color="FFFFFF" w:fill="auto"/>
        <w:autoSpaceDN w:val="0"/>
        <w:adjustRightInd w:val="0"/>
        <w:snapToGrid w:val="0"/>
        <w:rPr>
          <w:rFonts w:hint="eastAsia" w:ascii="宋体" w:hAnsi="宋体" w:cs="宋体"/>
          <w:color w:val="000000"/>
          <w:sz w:val="24"/>
          <w:szCs w:val="21"/>
          <w:shd w:val="clear" w:color="auto" w:fill="FFFFFF"/>
          <w:lang w:val="en-US" w:eastAsia="zh-CN"/>
        </w:rPr>
      </w:pPr>
      <w:r>
        <w:rPr>
          <w:rFonts w:hint="eastAsia" w:ascii="宋体" w:hAnsi="宋体" w:cs="宋体"/>
          <w:color w:val="000000"/>
          <w:sz w:val="24"/>
          <w:szCs w:val="21"/>
          <w:shd w:val="clear" w:color="auto" w:fill="FFFFFF"/>
          <w:lang w:val="en-US" w:eastAsia="zh-CN"/>
        </w:rPr>
        <w:t>高鸿业：《西方经济学（宏/微观）》第8版 ，中国人民大学出版社2021年。</w:t>
      </w:r>
    </w:p>
    <w:p w14:paraId="680FF01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58F3CCD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66CDBC0">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2F7A0BF6">
      <w:pPr>
        <w:widowControl/>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内容主要包括价格理论，消费者行为理论（效用理论），生产理论，成本理论，竞争市场</w:t>
      </w:r>
      <w:r>
        <w:rPr>
          <w:rFonts w:ascii="宋体" w:hAnsi="宋体" w:cs="宋体"/>
          <w:color w:val="000000"/>
          <w:sz w:val="24"/>
          <w:shd w:val="clear" w:color="auto" w:fill="FFFFFF"/>
        </w:rPr>
        <w:t>理论，</w:t>
      </w:r>
      <w:r>
        <w:rPr>
          <w:rFonts w:hint="eastAsia" w:ascii="宋体" w:hAnsi="宋体" w:cs="宋体"/>
          <w:color w:val="000000"/>
          <w:sz w:val="24"/>
          <w:shd w:val="clear" w:color="auto" w:fill="FFFFFF"/>
        </w:rPr>
        <w:t>国民收入决定理论，产品</w:t>
      </w:r>
      <w:r>
        <w:rPr>
          <w:rFonts w:ascii="宋体" w:hAnsi="宋体" w:cs="宋体"/>
          <w:color w:val="000000"/>
          <w:sz w:val="24"/>
          <w:shd w:val="clear" w:color="auto" w:fill="FFFFFF"/>
        </w:rPr>
        <w:t>与货币市场均衡理论，</w:t>
      </w:r>
      <w:r>
        <w:rPr>
          <w:rFonts w:hint="eastAsia" w:ascii="宋体" w:hAnsi="宋体" w:cs="宋体"/>
          <w:color w:val="000000"/>
          <w:sz w:val="24"/>
          <w:shd w:val="clear" w:color="auto" w:fill="FFFFFF"/>
        </w:rPr>
        <w:t>宏观经济政策分析，失业与通货膨胀理论等。测试学生对微观经济学和宏观经济学的基本原理、基本工具和方法的掌握程度，了解其是否具有初步应用这些基本原理和基本方法分析有关问题的能力。</w:t>
      </w:r>
    </w:p>
    <w:p w14:paraId="01755C83">
      <w:pPr>
        <w:widowControl/>
        <w:adjustRightInd w:val="0"/>
        <w:snapToGrid w:val="0"/>
        <w:rPr>
          <w:rFonts w:ascii="宋体" w:hAnsi="宋体" w:cs="宋体"/>
          <w:b/>
          <w:bCs/>
          <w:color w:val="000000"/>
          <w:sz w:val="24"/>
          <w:shd w:val="clear" w:color="auto" w:fill="FFFFFF"/>
        </w:rPr>
      </w:pPr>
    </w:p>
    <w:p w14:paraId="037DA30B">
      <w:pPr>
        <w:widowControl/>
        <w:adjustRightInd w:val="0"/>
        <w:snapToGrid w:val="0"/>
        <w:rPr>
          <w:rFonts w:hint="eastAsia" w:ascii="宋体" w:hAnsi="宋体" w:cs="宋体"/>
          <w:color w:val="000000"/>
          <w:sz w:val="24"/>
          <w:shd w:val="clear" w:color="auto" w:fill="FFFFFF"/>
        </w:rPr>
      </w:pPr>
      <w:r>
        <w:rPr>
          <w:rFonts w:hint="eastAsia" w:ascii="宋体" w:hAnsi="宋体" w:cs="宋体"/>
          <w:b/>
          <w:bCs/>
          <w:color w:val="000000"/>
          <w:sz w:val="24"/>
          <w:shd w:val="clear" w:color="auto" w:fill="FFFFFF"/>
        </w:rPr>
        <w:t>第一部分  微观经济理论</w:t>
      </w:r>
    </w:p>
    <w:p w14:paraId="288B2CA6">
      <w:pPr>
        <w:widowControl/>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一、需求、供给与价格理论</w:t>
      </w:r>
    </w:p>
    <w:p w14:paraId="56242A21">
      <w:pPr>
        <w:numPr>
          <w:ilvl w:val="0"/>
          <w:numId w:val="1"/>
        </w:numPr>
        <w:shd w:val="solid" w:color="FFFFFF" w:fill="auto"/>
        <w:autoSpaceDN w:val="0"/>
        <w:adjustRightInd w:val="0"/>
        <w:snapToGrid w:val="0"/>
        <w:rPr>
          <w:rFonts w:hint="eastAsia" w:ascii="宋体" w:hAnsi="宋体" w:cs="宋体"/>
          <w:color w:val="000000"/>
          <w:spacing w:val="-17"/>
          <w:sz w:val="24"/>
          <w:shd w:val="clear" w:color="auto" w:fill="FFFFFF"/>
        </w:rPr>
      </w:pPr>
      <w:r>
        <w:rPr>
          <w:rFonts w:hint="eastAsia" w:ascii="宋体" w:hAnsi="宋体" w:cs="宋体"/>
          <w:color w:val="000000"/>
          <w:spacing w:val="-17"/>
          <w:sz w:val="24"/>
          <w:shd w:val="clear" w:color="auto" w:fill="FFFFFF"/>
        </w:rPr>
        <w:t>需求理论</w:t>
      </w:r>
    </w:p>
    <w:p w14:paraId="3DF28F98">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pacing w:val="-13"/>
          <w:sz w:val="24"/>
          <w:shd w:val="clear" w:color="auto" w:fill="FFFFFF"/>
        </w:rPr>
        <w:t xml:space="preserve">     </w:t>
      </w:r>
      <w:r>
        <w:rPr>
          <w:rFonts w:hint="eastAsia" w:ascii="宋体" w:hAnsi="宋体" w:cs="宋体"/>
          <w:color w:val="000000"/>
          <w:sz w:val="24"/>
          <w:shd w:val="clear" w:color="auto" w:fill="FFFFFF"/>
        </w:rPr>
        <w:t>需求、需求表、需求曲线与需求规律      影响需求的因素：需求函数</w:t>
      </w:r>
    </w:p>
    <w:p w14:paraId="6AF67311">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需求定理                              需求量的变动与需求的变动</w:t>
      </w:r>
    </w:p>
    <w:p w14:paraId="3D866E2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供给理论</w:t>
      </w:r>
    </w:p>
    <w:p w14:paraId="7378AAA9">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pacing w:val="-13"/>
          <w:sz w:val="24"/>
          <w:shd w:val="clear" w:color="auto" w:fill="FFFFFF"/>
        </w:rPr>
        <w:t xml:space="preserve">    </w:t>
      </w:r>
      <w:r>
        <w:rPr>
          <w:rFonts w:hint="eastAsia" w:ascii="宋体" w:hAnsi="宋体" w:cs="宋体"/>
          <w:color w:val="000000"/>
          <w:sz w:val="24"/>
          <w:shd w:val="clear" w:color="auto" w:fill="FFFFFF"/>
        </w:rPr>
        <w:t xml:space="preserve"> 供给、供给表、供给曲线                影响供给的因素：供给函数</w:t>
      </w:r>
    </w:p>
    <w:p w14:paraId="0FB160D2">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供给定理                              供给量的变动与供给的变动</w:t>
      </w:r>
    </w:p>
    <w:p w14:paraId="30EC41A6">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价格的决定</w:t>
      </w:r>
    </w:p>
    <w:p w14:paraId="28F16C9F">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均衡价格含义及形成                    需求与供给变动对均衡的影响</w:t>
      </w:r>
    </w:p>
    <w:p w14:paraId="137B2FA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需求价格弹性</w:t>
      </w:r>
    </w:p>
    <w:p w14:paraId="6E1D263C">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需求价格弹性的含义与分类              影响需求弹性的因素</w:t>
      </w:r>
    </w:p>
    <w:p w14:paraId="2C0D893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弹性理论的运用：需求弹性与总收益</w:t>
      </w:r>
    </w:p>
    <w:p w14:paraId="38451FAD">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二、消费者行为理论（效用理论）</w:t>
      </w:r>
    </w:p>
    <w:p w14:paraId="5AFAEF6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效用</w:t>
      </w:r>
    </w:p>
    <w:p w14:paraId="09C25003">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基数效用论与序数效用论     总效用与边际效用      边际效用递减规律</w:t>
      </w:r>
    </w:p>
    <w:p w14:paraId="764A59C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序数效用论</w:t>
      </w:r>
    </w:p>
    <w:p w14:paraId="2A9E6E56">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无差异曲线及特征           消费可能线（预算线）   消费者均衡</w:t>
      </w:r>
    </w:p>
    <w:p w14:paraId="54716D53">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消费者行为理论的运用</w:t>
      </w:r>
    </w:p>
    <w:p w14:paraId="6ACC4193">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消费者剩余                    消费者行为与需求定理</w:t>
      </w:r>
    </w:p>
    <w:p w14:paraId="47355ACA">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三、生产理论</w:t>
      </w:r>
    </w:p>
    <w:p w14:paraId="212576D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生产要素与生产函数</w:t>
      </w:r>
    </w:p>
    <w:p w14:paraId="305F86E2">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边际收益递减规律</w:t>
      </w:r>
    </w:p>
    <w:p w14:paraId="43B3A92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总产量、平均产量、边际产量的关系</w:t>
      </w:r>
    </w:p>
    <w:p w14:paraId="772ACC90">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等产量线与等成本线</w:t>
      </w:r>
    </w:p>
    <w:p w14:paraId="75343FFC">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规模报酬</w:t>
      </w:r>
    </w:p>
    <w:p w14:paraId="781828AC">
      <w:pPr>
        <w:shd w:val="solid" w:color="FFFFFF" w:fill="auto"/>
        <w:autoSpaceDN w:val="0"/>
        <w:adjustRightInd w:val="0"/>
        <w:snapToGrid w:val="0"/>
        <w:rPr>
          <w:rFonts w:hint="eastAsia" w:ascii="宋体" w:hAnsi="宋体" w:cs="宋体"/>
          <w:bCs/>
          <w:color w:val="000000"/>
          <w:sz w:val="24"/>
          <w:shd w:val="clear" w:color="auto" w:fill="FFFFFF"/>
        </w:rPr>
      </w:pPr>
      <w:r>
        <w:rPr>
          <w:rFonts w:hint="eastAsia" w:ascii="宋体" w:hAnsi="宋体" w:cs="宋体"/>
          <w:bCs/>
          <w:color w:val="000000"/>
          <w:sz w:val="24"/>
          <w:shd w:val="clear" w:color="auto" w:fill="FFFFFF"/>
        </w:rPr>
        <w:t>四、成本与收益理论</w:t>
      </w:r>
    </w:p>
    <w:p w14:paraId="798A3AD7">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成本</w:t>
      </w:r>
    </w:p>
    <w:p w14:paraId="3F40E935">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会计成本与机会成本             机会成本在企业决策中的作用</w:t>
      </w:r>
    </w:p>
    <w:p w14:paraId="3B99CD1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短期成本</w:t>
      </w:r>
    </w:p>
    <w:p w14:paraId="4EE740C4">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短期成本的分类                 各类短期成本的变动规律及其关系</w:t>
      </w:r>
    </w:p>
    <w:p w14:paraId="6259949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长期成本</w:t>
      </w:r>
    </w:p>
    <w:p w14:paraId="337E1E6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长期总成本                     长期平均成本          长期边际成本</w:t>
      </w:r>
    </w:p>
    <w:p w14:paraId="6F1349F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收益与利润最大化</w:t>
      </w:r>
    </w:p>
    <w:p w14:paraId="69A7E7C9">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总收益、平均收益与边际收益     利润最大化原则</w:t>
      </w:r>
    </w:p>
    <w:p w14:paraId="3887676C">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五、竞争市场理论</w:t>
      </w:r>
    </w:p>
    <w:p w14:paraId="01FCAA3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市场结构</w:t>
      </w:r>
    </w:p>
    <w:p w14:paraId="1054DCDE">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市场结构类型                   市场结构与企业行为的关系</w:t>
      </w:r>
    </w:p>
    <w:p w14:paraId="105D0E45">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完全竞争市场</w:t>
      </w:r>
    </w:p>
    <w:p w14:paraId="72D443B2">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完全竞争市场含义与特征     完全竞争市场需求曲线、平均收益与边际收益</w:t>
      </w:r>
    </w:p>
    <w:p w14:paraId="29FB0377">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利润最大化的基本原则       完全竞争市场上的短期均衡与长期均衡</w:t>
      </w:r>
    </w:p>
    <w:p w14:paraId="20E5C97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非完全竞争市场</w:t>
      </w:r>
    </w:p>
    <w:p w14:paraId="4CC9D23F">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完全垄断、垄断竞争和寡头垄断市场的条件及其特征</w:t>
      </w:r>
    </w:p>
    <w:p w14:paraId="34B939B0">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完全垄断厂商的需求曲线、平均收益与边际收益</w:t>
      </w:r>
    </w:p>
    <w:p w14:paraId="4B34201E">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垄断市场上的短期均衡与长期均衡（了解）</w:t>
      </w:r>
    </w:p>
    <w:p w14:paraId="3ADD8426">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垄断竞争与完全竞争的比较</w:t>
      </w:r>
    </w:p>
    <w:p w14:paraId="4E1A5C70">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垄断竞争市场上的产品差别竞争    </w:t>
      </w:r>
    </w:p>
    <w:p w14:paraId="1323DF19">
      <w:pPr>
        <w:shd w:val="solid" w:color="FFFFFF" w:fill="auto"/>
        <w:autoSpaceDN w:val="0"/>
        <w:adjustRightInd w:val="0"/>
        <w:snapToGrid w:val="0"/>
        <w:rPr>
          <w:rFonts w:hint="eastAsia" w:ascii="宋体" w:hAnsi="宋体" w:cs="宋体"/>
          <w:b/>
          <w:bCs/>
          <w:color w:val="000000"/>
          <w:sz w:val="24"/>
          <w:shd w:val="clear" w:color="auto" w:fill="FFFFFF"/>
        </w:rPr>
      </w:pPr>
    </w:p>
    <w:p w14:paraId="78C73051">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
          <w:bCs/>
          <w:color w:val="000000"/>
          <w:sz w:val="24"/>
          <w:shd w:val="clear" w:color="auto" w:fill="FFFFFF"/>
        </w:rPr>
        <w:t>第二部分  宏观经济理论</w:t>
      </w:r>
    </w:p>
    <w:p w14:paraId="57F699BB">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一、国民收入决定理论</w:t>
      </w:r>
    </w:p>
    <w:p w14:paraId="2E008A5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w:t>
      </w:r>
    </w:p>
    <w:p w14:paraId="54E59DBA">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国内生产总值的含义                       </w:t>
      </w:r>
    </w:p>
    <w:p w14:paraId="44FFC4DC">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国内生产总值的计算方法</w:t>
      </w:r>
    </w:p>
    <w:p w14:paraId="7C588868">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实际国内生产总值与名义国内生产总值      </w:t>
      </w:r>
    </w:p>
    <w:p w14:paraId="46F3BAD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国内生产总值与人均国内生产总值</w:t>
      </w:r>
    </w:p>
    <w:p w14:paraId="72B5E280">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消费函数、储蓄函数</w:t>
      </w:r>
    </w:p>
    <w:p w14:paraId="4412AA10">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乘数理论</w:t>
      </w:r>
    </w:p>
    <w:p w14:paraId="249B1CC9">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其他宏观经济指标（了解）</w:t>
      </w:r>
    </w:p>
    <w:p w14:paraId="34515204">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物价指数                       失业率</w:t>
      </w:r>
    </w:p>
    <w:p w14:paraId="6AF76007">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二、产品市场和货币市场的一般均衡理论</w:t>
      </w:r>
    </w:p>
    <w:p w14:paraId="44C2170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投资的决定</w:t>
      </w:r>
    </w:p>
    <w:p w14:paraId="189AB598">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实际利率与投资                  边际效率</w:t>
      </w:r>
    </w:p>
    <w:p w14:paraId="3EC431A0">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投资边际效率曲线                预期收益与投资</w:t>
      </w:r>
    </w:p>
    <w:p w14:paraId="04B4AEDC">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商品市场的均衡（IS）曲线</w:t>
      </w:r>
    </w:p>
    <w:p w14:paraId="6EA91FF7">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货币市场的均衡（LM）曲线</w:t>
      </w:r>
    </w:p>
    <w:p w14:paraId="6EDCEF6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利率的决定</w:t>
      </w:r>
    </w:p>
    <w:p w14:paraId="26E30293">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 xml:space="preserve">三、宏观经济政策分析 </w:t>
      </w:r>
    </w:p>
    <w:p w14:paraId="031E66F5">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财政政策和货币政策的影响</w:t>
      </w:r>
    </w:p>
    <w:p w14:paraId="6DB3566C">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                         货币政策</w:t>
      </w:r>
    </w:p>
    <w:p w14:paraId="647F7381">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财政政策和货币政策的影响         财政政策和货币政策的混合使用</w:t>
      </w:r>
    </w:p>
    <w:p w14:paraId="7C596DF0">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经济政策目标</w:t>
      </w:r>
    </w:p>
    <w:p w14:paraId="562B48BC">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充分就业                         价格稳定 </w:t>
      </w:r>
    </w:p>
    <w:p w14:paraId="5DF96615">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经济持续均衡增长                 国际收支平衡。</w:t>
      </w:r>
    </w:p>
    <w:p w14:paraId="6654437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w:t>
      </w:r>
    </w:p>
    <w:p w14:paraId="7A62E425">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财政政策工具                     自动稳定与相机抉择的财政政策</w:t>
      </w:r>
    </w:p>
    <w:p w14:paraId="3A939AA6">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功能财政和预算盈余               充分就业预算盈余与财政政策方向</w:t>
      </w:r>
    </w:p>
    <w:p w14:paraId="72BB72A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货币政策</w:t>
      </w:r>
    </w:p>
    <w:p w14:paraId="3D08E1E9">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商业银行和中央银行               存款创造和货币供给</w:t>
      </w:r>
    </w:p>
    <w:p w14:paraId="60A11D3B">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债券价格与市场利息率的关系       货币政策及其工具</w:t>
      </w:r>
    </w:p>
    <w:p w14:paraId="65F2C48B">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四、失业、通货膨胀理论</w:t>
      </w:r>
    </w:p>
    <w:p w14:paraId="11A8301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失业理论</w:t>
      </w:r>
    </w:p>
    <w:p w14:paraId="43131D5A">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失业的分类                       自然失业率和自然就业率  </w:t>
      </w:r>
    </w:p>
    <w:p w14:paraId="5133914E">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失业的影响                       奥肯定律</w:t>
      </w:r>
    </w:p>
    <w:p w14:paraId="2D7B5BEC">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通货膨胀理论</w:t>
      </w:r>
    </w:p>
    <w:p w14:paraId="74D901F9">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通货膨胀的含义与分类             通货膨胀对经济的影响  </w:t>
      </w:r>
    </w:p>
    <w:p w14:paraId="5FC4A81D">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通货膨胀的原因                   需求拉动的通货膨胀理论    </w:t>
      </w:r>
    </w:p>
    <w:p w14:paraId="334E763D">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供给推动的通货膨胀理论           其他通货膨胀理论</w:t>
      </w:r>
    </w:p>
    <w:p w14:paraId="7784A07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治理通货膨胀的对策</w:t>
      </w:r>
    </w:p>
    <w:p w14:paraId="08F1664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菲利普斯曲线</w:t>
      </w:r>
    </w:p>
    <w:p w14:paraId="12AEFAB6">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菲利普斯曲线的提出               菲利普斯曲线的政策含义</w:t>
      </w:r>
    </w:p>
    <w:p w14:paraId="076F05DC">
      <w:pPr>
        <w:shd w:val="solid" w:color="FFFFFF" w:fill="auto"/>
        <w:autoSpaceDN w:val="0"/>
        <w:adjustRightInd w:val="0"/>
        <w:snapToGrid w:val="0"/>
        <w:ind w:left="420"/>
        <w:rPr>
          <w:rFonts w:hint="eastAsia" w:ascii="宋体" w:hAnsi="宋体" w:cs="宋体"/>
          <w:color w:val="000000"/>
          <w:sz w:val="24"/>
          <w:shd w:val="clear" w:color="auto" w:fill="FFFFFF"/>
        </w:rPr>
      </w:pPr>
    </w:p>
    <w:p w14:paraId="062FAED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792E90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783144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eastAsia" w:ascii="黑体" w:hAnsi="黑体" w:eastAsia="黑体" w:cs="黑体"/>
          <w:b/>
          <w:bCs w:val="0"/>
          <w:sz w:val="32"/>
          <w:szCs w:val="32"/>
          <w:lang w:val="en-US" w:eastAsia="zh-CN"/>
        </w:rPr>
      </w:pPr>
    </w:p>
    <w:p w14:paraId="5BEF7F28">
      <w:pPr>
        <w:widowControl/>
        <w:shd w:val="clear" w:color="auto" w:fill="FFFFFF"/>
        <w:adjustRightInd w:val="0"/>
        <w:snapToGrid w:val="0"/>
        <w:ind w:firstLine="480" w:firstLineChars="200"/>
        <w:jc w:val="left"/>
        <w:rPr>
          <w:rFonts w:hint="eastAsia" w:ascii="宋体" w:hAnsi="宋体" w:cs="宋体"/>
          <w:kern w:val="0"/>
          <w:sz w:val="24"/>
        </w:rPr>
      </w:pPr>
    </w:p>
    <w:p w14:paraId="26A122B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36298931">
      <w:pPr>
        <w:adjustRightInd w:val="0"/>
        <w:snapToGrid w:val="0"/>
        <w:jc w:val="center"/>
        <w:rPr>
          <w:rFonts w:hint="eastAsia" w:ascii="宋体" w:hAnsi="宋体" w:cs="宋体"/>
          <w:b/>
          <w:sz w:val="24"/>
          <w:szCs w:val="24"/>
        </w:rPr>
      </w:pPr>
      <w:r>
        <w:rPr>
          <w:rFonts w:hint="eastAsia" w:ascii="黑体" w:hAnsi="黑体" w:eastAsia="黑体" w:cs="黑体"/>
          <w:b/>
          <w:bCs w:val="0"/>
          <w:sz w:val="32"/>
          <w:szCs w:val="32"/>
          <w:lang w:val="en-US" w:eastAsia="zh-CN"/>
        </w:rPr>
        <w:t>复试笔试：《区域经济学》</w:t>
      </w:r>
    </w:p>
    <w:p w14:paraId="61E5A9B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5954554B">
      <w:pPr>
        <w:adjustRightInd w:val="0"/>
        <w:snapToGrid w:val="0"/>
        <w:jc w:val="left"/>
        <w:rPr>
          <w:rFonts w:hint="eastAsia" w:ascii="宋体" w:hAnsi="宋体" w:cs="宋体"/>
          <w:sz w:val="24"/>
          <w:szCs w:val="24"/>
        </w:rPr>
      </w:pPr>
      <w:r>
        <w:rPr>
          <w:rFonts w:hint="eastAsia" w:ascii="宋体" w:hAnsi="宋体" w:cs="宋体"/>
          <w:sz w:val="24"/>
          <w:szCs w:val="24"/>
          <w:lang w:val="en-US" w:eastAsia="zh-CN"/>
        </w:rPr>
        <w:t>一、</w:t>
      </w:r>
      <w:r>
        <w:rPr>
          <w:rFonts w:hint="eastAsia" w:ascii="宋体" w:hAnsi="宋体" w:cs="宋体"/>
          <w:sz w:val="24"/>
          <w:szCs w:val="24"/>
        </w:rPr>
        <w:t>问答题（6题，每题10分，共60分）</w:t>
      </w:r>
    </w:p>
    <w:p w14:paraId="6728761B">
      <w:pPr>
        <w:adjustRightInd w:val="0"/>
        <w:snapToGrid w:val="0"/>
        <w:jc w:val="left"/>
        <w:rPr>
          <w:rFonts w:hint="eastAsia" w:ascii="宋体" w:hAnsi="宋体" w:cs="宋体"/>
          <w:sz w:val="24"/>
          <w:szCs w:val="24"/>
        </w:rPr>
      </w:pPr>
      <w:r>
        <w:rPr>
          <w:rFonts w:hint="eastAsia" w:ascii="宋体" w:hAnsi="宋体" w:cs="宋体"/>
          <w:sz w:val="24"/>
          <w:szCs w:val="24"/>
          <w:lang w:val="en-US" w:eastAsia="zh-CN"/>
        </w:rPr>
        <w:t>二、</w:t>
      </w:r>
      <w:r>
        <w:rPr>
          <w:rFonts w:hint="eastAsia" w:ascii="宋体" w:hAnsi="宋体" w:cs="宋体"/>
          <w:sz w:val="24"/>
          <w:szCs w:val="24"/>
        </w:rPr>
        <w:t>论述题（2题，每题20分，共40分）</w:t>
      </w:r>
    </w:p>
    <w:p w14:paraId="72216C1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36D782E">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5F57DEB6">
      <w:pPr>
        <w:adjustRightInd w:val="0"/>
        <w:snapToGrid w:val="0"/>
        <w:jc w:val="left"/>
        <w:rPr>
          <w:rFonts w:hint="eastAsia" w:ascii="宋体" w:hAnsi="宋体" w:cs="宋体"/>
          <w:sz w:val="24"/>
          <w:szCs w:val="24"/>
          <w:lang w:val="en-US" w:eastAsia="zh-CN"/>
        </w:rPr>
      </w:pPr>
      <w:r>
        <w:rPr>
          <w:rFonts w:hint="eastAsia" w:ascii="宋体" w:hAnsi="宋体" w:cs="宋体"/>
          <w:sz w:val="24"/>
          <w:szCs w:val="24"/>
          <w:lang w:val="en-US" w:eastAsia="zh-CN"/>
        </w:rPr>
        <w:t>1.郝寿义、安虎森主编，区域经济学（第三版），经济科学出版社，2015年12月</w:t>
      </w:r>
    </w:p>
    <w:p w14:paraId="5A118124">
      <w:pPr>
        <w:adjustRightInd w:val="0"/>
        <w:snapToGrid w:val="0"/>
        <w:jc w:val="left"/>
        <w:rPr>
          <w:rFonts w:hint="default" w:ascii="宋体" w:hAnsi="宋体" w:cs="宋体"/>
          <w:sz w:val="24"/>
          <w:szCs w:val="24"/>
          <w:lang w:val="en-US" w:eastAsia="zh-CN"/>
        </w:rPr>
      </w:pPr>
      <w:r>
        <w:rPr>
          <w:rFonts w:hint="eastAsia" w:ascii="宋体" w:hAnsi="宋体" w:cs="宋体"/>
          <w:sz w:val="24"/>
          <w:szCs w:val="24"/>
          <w:lang w:val="en-US" w:eastAsia="zh-CN"/>
        </w:rPr>
        <w:t>2.</w:t>
      </w:r>
      <w:r>
        <w:rPr>
          <w:rFonts w:hint="default" w:ascii="宋体" w:hAnsi="宋体" w:cs="宋体"/>
          <w:sz w:val="24"/>
          <w:szCs w:val="24"/>
          <w:lang w:val="en-US" w:eastAsia="zh-CN"/>
        </w:rPr>
        <w:t>区域经济学编写组，区域经济学(第2版马克思主义理论研究和建设工程重点教材)，高等教育出版社，2024年5月</w:t>
      </w:r>
    </w:p>
    <w:p w14:paraId="575446F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6B16DB6">
      <w:pPr>
        <w:adjustRightInd w:val="0"/>
        <w:snapToGrid w:val="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61079AD0">
      <w:pPr>
        <w:adjustRightInd w:val="0"/>
        <w:snapToGrid w:val="0"/>
        <w:ind w:firstLine="480" w:firstLineChars="200"/>
        <w:rPr>
          <w:rFonts w:hint="eastAsia" w:ascii="宋体" w:hAnsi="宋体" w:cs="宋体"/>
          <w:b/>
          <w:sz w:val="24"/>
          <w:szCs w:val="24"/>
        </w:rPr>
      </w:pPr>
      <w:bookmarkStart w:id="0" w:name="_GoBack"/>
      <w:bookmarkEnd w:id="0"/>
      <w:r>
        <w:rPr>
          <w:rFonts w:hint="eastAsia" w:ascii="宋体" w:hAnsi="宋体" w:cs="宋体"/>
          <w:sz w:val="24"/>
          <w:szCs w:val="24"/>
          <w:lang w:eastAsia="zh-CN"/>
        </w:rPr>
        <w:t>考查</w:t>
      </w:r>
      <w:r>
        <w:rPr>
          <w:rFonts w:hint="eastAsia" w:ascii="宋体" w:hAnsi="宋体" w:cs="宋体"/>
          <w:sz w:val="24"/>
          <w:szCs w:val="24"/>
        </w:rPr>
        <w:t>学生对区域经济学所涉及的基本概念、原理、框架、方法；了解区域经济学的学科关联；能利用区域经济学基本分析框架和原理，对我国经济发展中所出现的区域经济现象进行简要分析。</w:t>
      </w:r>
    </w:p>
    <w:p w14:paraId="022AE46D">
      <w:pPr>
        <w:adjustRightInd w:val="0"/>
        <w:snapToGrid w:val="0"/>
        <w:ind w:firstLine="482" w:firstLineChars="200"/>
        <w:rPr>
          <w:rFonts w:hint="eastAsia" w:ascii="宋体" w:hAnsi="宋体" w:cs="宋体"/>
          <w:b/>
          <w:sz w:val="24"/>
          <w:szCs w:val="24"/>
        </w:rPr>
      </w:pPr>
      <w:r>
        <w:rPr>
          <w:rFonts w:hint="eastAsia" w:ascii="宋体" w:hAnsi="宋体" w:cs="宋体"/>
          <w:b/>
          <w:sz w:val="24"/>
          <w:szCs w:val="24"/>
        </w:rPr>
        <w:t>第一部分 基本概念</w:t>
      </w:r>
    </w:p>
    <w:p w14:paraId="515E7FBD">
      <w:pPr>
        <w:pStyle w:val="3"/>
        <w:numPr>
          <w:ilvl w:val="0"/>
          <w:numId w:val="3"/>
        </w:numPr>
        <w:adjustRightInd w:val="0"/>
        <w:snapToGrid w:val="0"/>
        <w:spacing w:before="0" w:beforeAutospacing="0" w:after="0" w:afterAutospacing="0"/>
        <w:ind w:firstLine="480" w:firstLineChars="200"/>
        <w:rPr>
          <w:rFonts w:hint="eastAsia"/>
        </w:rPr>
      </w:pPr>
      <w:r>
        <w:rPr>
          <w:rFonts w:hint="eastAsia"/>
        </w:rPr>
        <w:t>经济区与行政区</w:t>
      </w:r>
    </w:p>
    <w:p w14:paraId="4DB06393">
      <w:pPr>
        <w:pStyle w:val="3"/>
        <w:numPr>
          <w:ilvl w:val="0"/>
          <w:numId w:val="3"/>
        </w:numPr>
        <w:adjustRightInd w:val="0"/>
        <w:snapToGrid w:val="0"/>
        <w:spacing w:before="0" w:beforeAutospacing="0" w:after="0" w:afterAutospacing="0"/>
        <w:ind w:firstLine="480" w:firstLineChars="200"/>
        <w:rPr>
          <w:rFonts w:hint="eastAsia"/>
        </w:rPr>
      </w:pPr>
      <w:r>
        <w:rPr>
          <w:rFonts w:hint="eastAsia"/>
        </w:rPr>
        <w:t>结节区、匀质区、流域区</w:t>
      </w:r>
    </w:p>
    <w:p w14:paraId="04433D45">
      <w:pPr>
        <w:pStyle w:val="3"/>
        <w:numPr>
          <w:ilvl w:val="0"/>
          <w:numId w:val="3"/>
        </w:numPr>
        <w:adjustRightInd w:val="0"/>
        <w:snapToGrid w:val="0"/>
        <w:spacing w:before="0" w:beforeAutospacing="0" w:after="0" w:afterAutospacing="0"/>
        <w:ind w:firstLine="480" w:firstLineChars="200"/>
        <w:rPr>
          <w:rFonts w:hint="eastAsia"/>
        </w:rPr>
      </w:pPr>
      <w:r>
        <w:rPr>
          <w:rFonts w:hint="eastAsia"/>
        </w:rPr>
        <w:t>运输费用和空间联系成本</w:t>
      </w:r>
    </w:p>
    <w:p w14:paraId="2DF42F8C">
      <w:pPr>
        <w:pStyle w:val="3"/>
        <w:adjustRightInd w:val="0"/>
        <w:snapToGrid w:val="0"/>
        <w:spacing w:before="0" w:beforeAutospacing="0" w:after="0" w:afterAutospacing="0"/>
        <w:ind w:firstLine="482" w:firstLineChars="200"/>
        <w:rPr>
          <w:rFonts w:hint="eastAsia"/>
          <w:b/>
        </w:rPr>
      </w:pPr>
      <w:r>
        <w:rPr>
          <w:rFonts w:hint="eastAsia"/>
          <w:b/>
        </w:rPr>
        <w:t>第二部分 区位论和产业空间特征</w:t>
      </w:r>
    </w:p>
    <w:p w14:paraId="1B56F582">
      <w:pPr>
        <w:pStyle w:val="3"/>
        <w:numPr>
          <w:ilvl w:val="0"/>
          <w:numId w:val="3"/>
        </w:numPr>
        <w:adjustRightInd w:val="0"/>
        <w:snapToGrid w:val="0"/>
        <w:spacing w:before="0" w:beforeAutospacing="0" w:after="0" w:afterAutospacing="0"/>
        <w:ind w:firstLine="480" w:firstLineChars="200"/>
        <w:rPr>
          <w:rFonts w:hint="eastAsia"/>
        </w:rPr>
      </w:pPr>
      <w:r>
        <w:rPr>
          <w:rFonts w:hint="eastAsia"/>
        </w:rPr>
        <w:t>杜能和阿伦索的圈层理论</w:t>
      </w:r>
    </w:p>
    <w:p w14:paraId="2873BE0D">
      <w:pPr>
        <w:pStyle w:val="3"/>
        <w:numPr>
          <w:ilvl w:val="0"/>
          <w:numId w:val="3"/>
        </w:numPr>
        <w:adjustRightInd w:val="0"/>
        <w:snapToGrid w:val="0"/>
        <w:spacing w:before="0" w:beforeAutospacing="0" w:after="0" w:afterAutospacing="0"/>
        <w:ind w:firstLine="480" w:firstLineChars="200"/>
        <w:rPr>
          <w:rFonts w:hint="eastAsia"/>
        </w:rPr>
      </w:pPr>
      <w:r>
        <w:rPr>
          <w:rFonts w:hint="eastAsia"/>
        </w:rPr>
        <w:t>韦伯工业区位论</w:t>
      </w:r>
    </w:p>
    <w:p w14:paraId="20F56FAB">
      <w:pPr>
        <w:pStyle w:val="3"/>
        <w:numPr>
          <w:ilvl w:val="0"/>
          <w:numId w:val="3"/>
        </w:numPr>
        <w:adjustRightInd w:val="0"/>
        <w:snapToGrid w:val="0"/>
        <w:spacing w:before="0" w:beforeAutospacing="0" w:after="0" w:afterAutospacing="0"/>
        <w:ind w:firstLine="480" w:firstLineChars="200"/>
        <w:rPr>
          <w:rFonts w:hint="eastAsia"/>
        </w:rPr>
      </w:pPr>
      <w:r>
        <w:rPr>
          <w:rFonts w:hint="eastAsia"/>
        </w:rPr>
        <w:t>廖什中心地理论</w:t>
      </w:r>
    </w:p>
    <w:p w14:paraId="0D26EC28">
      <w:pPr>
        <w:pStyle w:val="3"/>
        <w:adjustRightInd w:val="0"/>
        <w:snapToGrid w:val="0"/>
        <w:spacing w:before="0" w:beforeAutospacing="0" w:after="0" w:afterAutospacing="0"/>
        <w:ind w:firstLine="482" w:firstLineChars="200"/>
        <w:rPr>
          <w:rFonts w:hint="eastAsia"/>
          <w:b/>
        </w:rPr>
      </w:pPr>
      <w:r>
        <w:rPr>
          <w:rFonts w:hint="eastAsia"/>
          <w:b/>
        </w:rPr>
        <w:t>第三部分 产业集群</w:t>
      </w:r>
    </w:p>
    <w:p w14:paraId="580F51BF">
      <w:pPr>
        <w:pStyle w:val="3"/>
        <w:numPr>
          <w:ilvl w:val="0"/>
          <w:numId w:val="3"/>
        </w:numPr>
        <w:adjustRightInd w:val="0"/>
        <w:snapToGrid w:val="0"/>
        <w:spacing w:before="0" w:beforeAutospacing="0" w:after="0" w:afterAutospacing="0"/>
        <w:ind w:firstLine="480" w:firstLineChars="200"/>
        <w:rPr>
          <w:rFonts w:hint="eastAsia"/>
        </w:rPr>
      </w:pPr>
      <w:r>
        <w:rPr>
          <w:rFonts w:hint="eastAsia"/>
        </w:rPr>
        <w:t>产业集群概念与特征</w:t>
      </w:r>
    </w:p>
    <w:p w14:paraId="023789F9">
      <w:pPr>
        <w:pStyle w:val="3"/>
        <w:numPr>
          <w:ilvl w:val="0"/>
          <w:numId w:val="3"/>
        </w:numPr>
        <w:adjustRightInd w:val="0"/>
        <w:snapToGrid w:val="0"/>
        <w:spacing w:before="0" w:beforeAutospacing="0" w:after="0" w:afterAutospacing="0"/>
        <w:ind w:firstLine="480" w:firstLineChars="200"/>
        <w:rPr>
          <w:rFonts w:hint="eastAsia"/>
        </w:rPr>
      </w:pPr>
      <w:r>
        <w:rPr>
          <w:rFonts w:hint="eastAsia"/>
        </w:rPr>
        <w:t>苏联地域生产综合体</w:t>
      </w:r>
    </w:p>
    <w:p w14:paraId="5E8A133E">
      <w:pPr>
        <w:pStyle w:val="3"/>
        <w:numPr>
          <w:ilvl w:val="0"/>
          <w:numId w:val="3"/>
        </w:numPr>
        <w:adjustRightInd w:val="0"/>
        <w:snapToGrid w:val="0"/>
        <w:spacing w:before="0" w:beforeAutospacing="0" w:after="0" w:afterAutospacing="0"/>
        <w:ind w:firstLine="480" w:firstLineChars="200"/>
        <w:rPr>
          <w:rFonts w:hint="eastAsia"/>
        </w:rPr>
      </w:pPr>
      <w:r>
        <w:rPr>
          <w:rFonts w:hint="eastAsia"/>
        </w:rPr>
        <w:t>波特竞争优势理论</w:t>
      </w:r>
    </w:p>
    <w:p w14:paraId="3FFA5ED2">
      <w:pPr>
        <w:pStyle w:val="3"/>
        <w:adjustRightInd w:val="0"/>
        <w:snapToGrid w:val="0"/>
        <w:spacing w:before="0" w:beforeAutospacing="0" w:after="0" w:afterAutospacing="0"/>
        <w:ind w:firstLine="482" w:firstLineChars="200"/>
        <w:rPr>
          <w:rFonts w:hint="eastAsia"/>
          <w:b/>
        </w:rPr>
      </w:pPr>
      <w:r>
        <w:rPr>
          <w:rFonts w:hint="eastAsia"/>
          <w:b/>
        </w:rPr>
        <w:t>第四部分 区域经济增长</w:t>
      </w:r>
    </w:p>
    <w:p w14:paraId="0C8BE251">
      <w:pPr>
        <w:pStyle w:val="3"/>
        <w:numPr>
          <w:ilvl w:val="0"/>
          <w:numId w:val="3"/>
        </w:numPr>
        <w:adjustRightInd w:val="0"/>
        <w:snapToGrid w:val="0"/>
        <w:spacing w:before="0" w:beforeAutospacing="0" w:after="0" w:afterAutospacing="0"/>
        <w:ind w:firstLine="480" w:firstLineChars="200"/>
        <w:rPr>
          <w:rFonts w:hint="eastAsia"/>
        </w:rPr>
      </w:pPr>
      <w:r>
        <w:rPr>
          <w:rFonts w:hint="eastAsia"/>
        </w:rPr>
        <w:t>输出基础理论</w:t>
      </w:r>
    </w:p>
    <w:p w14:paraId="4C319EE7">
      <w:pPr>
        <w:pStyle w:val="3"/>
        <w:numPr>
          <w:ilvl w:val="0"/>
          <w:numId w:val="3"/>
        </w:numPr>
        <w:adjustRightInd w:val="0"/>
        <w:snapToGrid w:val="0"/>
        <w:spacing w:before="0" w:beforeAutospacing="0" w:after="0" w:afterAutospacing="0"/>
        <w:ind w:firstLine="480" w:firstLineChars="200"/>
        <w:rPr>
          <w:rFonts w:hint="eastAsia"/>
        </w:rPr>
      </w:pPr>
      <w:r>
        <w:rPr>
          <w:rFonts w:hint="eastAsia"/>
        </w:rPr>
        <w:t>经济增长源泉分析</w:t>
      </w:r>
    </w:p>
    <w:p w14:paraId="0B47715A">
      <w:pPr>
        <w:pStyle w:val="3"/>
        <w:numPr>
          <w:ilvl w:val="0"/>
          <w:numId w:val="3"/>
        </w:numPr>
        <w:adjustRightInd w:val="0"/>
        <w:snapToGrid w:val="0"/>
        <w:spacing w:before="0" w:beforeAutospacing="0" w:after="0" w:afterAutospacing="0"/>
        <w:ind w:firstLine="480" w:firstLineChars="200"/>
        <w:rPr>
          <w:rFonts w:hint="eastAsia"/>
        </w:rPr>
      </w:pPr>
      <w:r>
        <w:rPr>
          <w:rFonts w:hint="eastAsia"/>
        </w:rPr>
        <w:t>缪尔达尔循环累积因果理论</w:t>
      </w:r>
    </w:p>
    <w:p w14:paraId="416011E9">
      <w:pPr>
        <w:pStyle w:val="3"/>
        <w:numPr>
          <w:ilvl w:val="0"/>
          <w:numId w:val="3"/>
        </w:numPr>
        <w:adjustRightInd w:val="0"/>
        <w:snapToGrid w:val="0"/>
        <w:spacing w:before="0" w:beforeAutospacing="0" w:after="0" w:afterAutospacing="0"/>
        <w:ind w:firstLine="480" w:firstLineChars="200"/>
        <w:rPr>
          <w:rFonts w:hint="eastAsia"/>
        </w:rPr>
      </w:pPr>
      <w:r>
        <w:rPr>
          <w:rFonts w:hint="eastAsia"/>
        </w:rPr>
        <w:t>佩鲁增长极理论</w:t>
      </w:r>
    </w:p>
    <w:p w14:paraId="79773240">
      <w:pPr>
        <w:pStyle w:val="3"/>
        <w:numPr>
          <w:ilvl w:val="0"/>
          <w:numId w:val="3"/>
        </w:numPr>
        <w:adjustRightInd w:val="0"/>
        <w:snapToGrid w:val="0"/>
        <w:spacing w:before="0" w:beforeAutospacing="0" w:after="0" w:afterAutospacing="0"/>
        <w:ind w:firstLine="480" w:firstLineChars="200"/>
        <w:rPr>
          <w:rFonts w:hint="eastAsia"/>
        </w:rPr>
      </w:pPr>
      <w:r>
        <w:rPr>
          <w:rFonts w:hint="eastAsia"/>
        </w:rPr>
        <w:t>梯度理论和点轴开发理论</w:t>
      </w:r>
    </w:p>
    <w:p w14:paraId="72D4AF00">
      <w:pPr>
        <w:pStyle w:val="3"/>
        <w:numPr>
          <w:ilvl w:val="0"/>
          <w:numId w:val="3"/>
        </w:numPr>
        <w:adjustRightInd w:val="0"/>
        <w:snapToGrid w:val="0"/>
        <w:spacing w:before="0" w:beforeAutospacing="0" w:after="0" w:afterAutospacing="0"/>
        <w:ind w:firstLine="480" w:firstLineChars="200"/>
        <w:rPr>
          <w:rFonts w:hint="eastAsia"/>
        </w:rPr>
      </w:pPr>
      <w:r>
        <w:rPr>
          <w:rFonts w:hint="eastAsia"/>
        </w:rPr>
        <w:t>区域经济增长收敛</w:t>
      </w:r>
    </w:p>
    <w:p w14:paraId="386A62E6">
      <w:pPr>
        <w:pStyle w:val="3"/>
        <w:adjustRightInd w:val="0"/>
        <w:snapToGrid w:val="0"/>
        <w:spacing w:before="0" w:beforeAutospacing="0" w:after="0" w:afterAutospacing="0"/>
        <w:ind w:firstLine="482" w:firstLineChars="200"/>
        <w:rPr>
          <w:rFonts w:hint="eastAsia"/>
          <w:b/>
        </w:rPr>
      </w:pPr>
      <w:r>
        <w:rPr>
          <w:rFonts w:hint="eastAsia"/>
          <w:b/>
        </w:rPr>
        <w:t>第五部分 区域可持续发展</w:t>
      </w:r>
    </w:p>
    <w:p w14:paraId="78A2C340">
      <w:pPr>
        <w:pStyle w:val="3"/>
        <w:numPr>
          <w:ilvl w:val="0"/>
          <w:numId w:val="3"/>
        </w:numPr>
        <w:adjustRightInd w:val="0"/>
        <w:snapToGrid w:val="0"/>
        <w:spacing w:before="0" w:beforeAutospacing="0" w:after="0" w:afterAutospacing="0"/>
        <w:ind w:firstLine="480" w:firstLineChars="200"/>
        <w:rPr>
          <w:rFonts w:hint="eastAsia"/>
        </w:rPr>
      </w:pPr>
      <w:r>
        <w:rPr>
          <w:rFonts w:hint="eastAsia"/>
        </w:rPr>
        <w:t>马尔萨斯人口增长陷阱</w:t>
      </w:r>
    </w:p>
    <w:p w14:paraId="5D71F838">
      <w:pPr>
        <w:pStyle w:val="3"/>
        <w:numPr>
          <w:ilvl w:val="0"/>
          <w:numId w:val="3"/>
        </w:numPr>
        <w:adjustRightInd w:val="0"/>
        <w:snapToGrid w:val="0"/>
        <w:spacing w:before="0" w:beforeAutospacing="0" w:after="0" w:afterAutospacing="0"/>
        <w:ind w:firstLine="480" w:firstLineChars="200"/>
        <w:rPr>
          <w:rFonts w:hint="eastAsia"/>
        </w:rPr>
      </w:pPr>
      <w:r>
        <w:rPr>
          <w:rFonts w:hint="eastAsia"/>
        </w:rPr>
        <w:t>可持续发展</w:t>
      </w:r>
    </w:p>
    <w:p w14:paraId="0F508A29">
      <w:pPr>
        <w:pStyle w:val="3"/>
        <w:numPr>
          <w:ilvl w:val="0"/>
          <w:numId w:val="3"/>
        </w:numPr>
        <w:adjustRightInd w:val="0"/>
        <w:snapToGrid w:val="0"/>
        <w:spacing w:before="0" w:beforeAutospacing="0" w:after="0" w:afterAutospacing="0"/>
        <w:ind w:firstLine="480" w:firstLineChars="200"/>
        <w:rPr>
          <w:rFonts w:hint="eastAsia"/>
        </w:rPr>
      </w:pPr>
      <w:r>
        <w:rPr>
          <w:rFonts w:hint="eastAsia"/>
        </w:rPr>
        <w:t>自然资本</w:t>
      </w:r>
    </w:p>
    <w:p w14:paraId="573A7CAA">
      <w:pPr>
        <w:pStyle w:val="3"/>
        <w:numPr>
          <w:ilvl w:val="0"/>
          <w:numId w:val="3"/>
        </w:numPr>
        <w:adjustRightInd w:val="0"/>
        <w:snapToGrid w:val="0"/>
        <w:spacing w:before="0" w:beforeAutospacing="0" w:after="0" w:afterAutospacing="0"/>
        <w:ind w:firstLine="480" w:firstLineChars="200"/>
        <w:rPr>
          <w:rFonts w:hint="eastAsia"/>
        </w:rPr>
      </w:pPr>
      <w:r>
        <w:rPr>
          <w:rFonts w:hint="eastAsia"/>
        </w:rPr>
        <w:t>碳汇交易与循环经济</w:t>
      </w:r>
    </w:p>
    <w:p w14:paraId="59CEFA3C">
      <w:pPr>
        <w:pStyle w:val="3"/>
        <w:adjustRightInd w:val="0"/>
        <w:snapToGrid w:val="0"/>
        <w:spacing w:before="0" w:beforeAutospacing="0" w:after="0" w:afterAutospacing="0"/>
        <w:ind w:firstLine="482" w:firstLineChars="200"/>
        <w:rPr>
          <w:rFonts w:hint="eastAsia"/>
          <w:b/>
        </w:rPr>
      </w:pPr>
      <w:r>
        <w:rPr>
          <w:rFonts w:hint="eastAsia"/>
          <w:b/>
        </w:rPr>
        <w:t>第六部分 区域贸易与联系</w:t>
      </w:r>
    </w:p>
    <w:p w14:paraId="106F3402">
      <w:pPr>
        <w:pStyle w:val="3"/>
        <w:numPr>
          <w:ilvl w:val="0"/>
          <w:numId w:val="3"/>
        </w:numPr>
        <w:adjustRightInd w:val="0"/>
        <w:snapToGrid w:val="0"/>
        <w:spacing w:before="0" w:beforeAutospacing="0" w:after="0" w:afterAutospacing="0"/>
        <w:ind w:firstLine="480" w:firstLineChars="200"/>
        <w:rPr>
          <w:rFonts w:hint="eastAsia"/>
        </w:rPr>
      </w:pPr>
      <w:r>
        <w:rPr>
          <w:rFonts w:hint="eastAsia"/>
        </w:rPr>
        <w:t>国际经济与区域经济之间的异同</w:t>
      </w:r>
    </w:p>
    <w:p w14:paraId="29CD9E45">
      <w:pPr>
        <w:pStyle w:val="3"/>
        <w:numPr>
          <w:ilvl w:val="0"/>
          <w:numId w:val="3"/>
        </w:numPr>
        <w:adjustRightInd w:val="0"/>
        <w:snapToGrid w:val="0"/>
        <w:spacing w:before="0" w:beforeAutospacing="0" w:after="0" w:afterAutospacing="0"/>
        <w:ind w:firstLine="480" w:firstLineChars="200"/>
        <w:rPr>
          <w:rFonts w:hint="eastAsia"/>
        </w:rPr>
      </w:pPr>
      <w:r>
        <w:rPr>
          <w:rFonts w:hint="eastAsia"/>
        </w:rPr>
        <w:t>赫克歇尔-俄林-萨缪尔森的比较优势理论</w:t>
      </w:r>
    </w:p>
    <w:p w14:paraId="3FC99C0A">
      <w:pPr>
        <w:pStyle w:val="3"/>
        <w:numPr>
          <w:ilvl w:val="0"/>
          <w:numId w:val="3"/>
        </w:numPr>
        <w:adjustRightInd w:val="0"/>
        <w:snapToGrid w:val="0"/>
        <w:spacing w:before="0" w:beforeAutospacing="0" w:after="0" w:afterAutospacing="0"/>
        <w:ind w:firstLine="480" w:firstLineChars="200"/>
        <w:rPr>
          <w:rFonts w:hint="eastAsia"/>
        </w:rPr>
      </w:pPr>
      <w:r>
        <w:rPr>
          <w:rFonts w:hint="eastAsia"/>
        </w:rPr>
        <w:t>生命周期理论和雁行模式</w:t>
      </w:r>
    </w:p>
    <w:p w14:paraId="622DF1CC">
      <w:pPr>
        <w:pStyle w:val="3"/>
        <w:numPr>
          <w:ilvl w:val="0"/>
          <w:numId w:val="3"/>
        </w:numPr>
        <w:adjustRightInd w:val="0"/>
        <w:snapToGrid w:val="0"/>
        <w:spacing w:before="0" w:beforeAutospacing="0" w:after="0" w:afterAutospacing="0"/>
        <w:ind w:firstLine="480" w:firstLineChars="200"/>
        <w:rPr>
          <w:rFonts w:hint="eastAsia"/>
        </w:rPr>
      </w:pPr>
      <w:r>
        <w:rPr>
          <w:rFonts w:hint="eastAsia"/>
        </w:rPr>
        <w:t>邓宁的国际投资理论</w:t>
      </w:r>
    </w:p>
    <w:p w14:paraId="45A2A149">
      <w:pPr>
        <w:pStyle w:val="3"/>
        <w:numPr>
          <w:ilvl w:val="0"/>
          <w:numId w:val="3"/>
        </w:numPr>
        <w:adjustRightInd w:val="0"/>
        <w:snapToGrid w:val="0"/>
        <w:spacing w:before="0" w:beforeAutospacing="0" w:after="0" w:afterAutospacing="0"/>
        <w:ind w:firstLine="480" w:firstLineChars="200"/>
        <w:rPr>
          <w:rFonts w:hint="eastAsia"/>
        </w:rPr>
      </w:pPr>
      <w:r>
        <w:rPr>
          <w:rFonts w:hint="eastAsia"/>
        </w:rPr>
        <w:t>国际一体化</w:t>
      </w:r>
    </w:p>
    <w:p w14:paraId="6CDC4958">
      <w:pPr>
        <w:pStyle w:val="3"/>
        <w:adjustRightInd w:val="0"/>
        <w:snapToGrid w:val="0"/>
        <w:spacing w:before="0" w:beforeAutospacing="0" w:after="0" w:afterAutospacing="0"/>
        <w:ind w:firstLine="482" w:firstLineChars="200"/>
        <w:rPr>
          <w:rFonts w:hint="eastAsia"/>
          <w:b/>
        </w:rPr>
      </w:pPr>
      <w:r>
        <w:rPr>
          <w:rFonts w:hint="eastAsia"/>
          <w:b/>
        </w:rPr>
        <w:t>第七部分 城市化和城镇体系</w:t>
      </w:r>
    </w:p>
    <w:p w14:paraId="719293AE">
      <w:pPr>
        <w:pStyle w:val="3"/>
        <w:numPr>
          <w:ilvl w:val="0"/>
          <w:numId w:val="3"/>
        </w:numPr>
        <w:adjustRightInd w:val="0"/>
        <w:snapToGrid w:val="0"/>
        <w:spacing w:before="0" w:beforeAutospacing="0" w:after="0" w:afterAutospacing="0"/>
        <w:ind w:firstLine="480" w:firstLineChars="200"/>
        <w:rPr>
          <w:rFonts w:hint="eastAsia"/>
        </w:rPr>
      </w:pPr>
      <w:r>
        <w:rPr>
          <w:rFonts w:hint="eastAsia"/>
        </w:rPr>
        <w:t>罗斯托经济发展阶段之起飞</w:t>
      </w:r>
    </w:p>
    <w:p w14:paraId="09FF7BE4">
      <w:pPr>
        <w:pStyle w:val="3"/>
        <w:numPr>
          <w:ilvl w:val="0"/>
          <w:numId w:val="3"/>
        </w:numPr>
        <w:adjustRightInd w:val="0"/>
        <w:snapToGrid w:val="0"/>
        <w:spacing w:before="0" w:beforeAutospacing="0" w:after="0" w:afterAutospacing="0"/>
        <w:ind w:firstLine="480" w:firstLineChars="200"/>
        <w:rPr>
          <w:rFonts w:hint="eastAsia"/>
        </w:rPr>
      </w:pPr>
      <w:r>
        <w:rPr>
          <w:rFonts w:hint="eastAsia"/>
        </w:rPr>
        <w:t>人口流动理论</w:t>
      </w:r>
    </w:p>
    <w:p w14:paraId="71C5E034">
      <w:pPr>
        <w:pStyle w:val="3"/>
        <w:numPr>
          <w:ilvl w:val="0"/>
          <w:numId w:val="3"/>
        </w:numPr>
        <w:adjustRightInd w:val="0"/>
        <w:snapToGrid w:val="0"/>
        <w:spacing w:before="0" w:beforeAutospacing="0" w:after="0" w:afterAutospacing="0"/>
        <w:ind w:firstLine="480" w:firstLineChars="200"/>
        <w:rPr>
          <w:rFonts w:hint="eastAsia"/>
        </w:rPr>
      </w:pPr>
      <w:r>
        <w:rPr>
          <w:rFonts w:hint="eastAsia"/>
        </w:rPr>
        <w:t>贫困区</w:t>
      </w:r>
    </w:p>
    <w:p w14:paraId="53F1DC02">
      <w:pPr>
        <w:pStyle w:val="3"/>
        <w:numPr>
          <w:ilvl w:val="0"/>
          <w:numId w:val="3"/>
        </w:numPr>
        <w:adjustRightInd w:val="0"/>
        <w:snapToGrid w:val="0"/>
        <w:spacing w:before="0" w:beforeAutospacing="0" w:after="0" w:afterAutospacing="0"/>
        <w:ind w:firstLine="480" w:firstLineChars="200"/>
        <w:rPr>
          <w:rFonts w:hint="eastAsia"/>
        </w:rPr>
      </w:pPr>
      <w:r>
        <w:rPr>
          <w:rFonts w:hint="eastAsia"/>
        </w:rPr>
        <w:t>城市化模式选择</w:t>
      </w:r>
    </w:p>
    <w:p w14:paraId="37298976">
      <w:pPr>
        <w:pStyle w:val="3"/>
        <w:numPr>
          <w:ilvl w:val="0"/>
          <w:numId w:val="3"/>
        </w:numPr>
        <w:adjustRightInd w:val="0"/>
        <w:snapToGrid w:val="0"/>
        <w:spacing w:before="0" w:beforeAutospacing="0" w:after="0" w:afterAutospacing="0"/>
        <w:ind w:firstLine="480" w:firstLineChars="200"/>
        <w:rPr>
          <w:rFonts w:hint="eastAsia"/>
        </w:rPr>
      </w:pPr>
      <w:r>
        <w:rPr>
          <w:rFonts w:hint="eastAsia"/>
        </w:rPr>
        <w:t>城市群与大都会区</w:t>
      </w:r>
    </w:p>
    <w:p w14:paraId="103B4880">
      <w:pPr>
        <w:pStyle w:val="3"/>
        <w:adjustRightInd w:val="0"/>
        <w:snapToGrid w:val="0"/>
        <w:spacing w:before="0" w:beforeAutospacing="0" w:after="0" w:afterAutospacing="0"/>
        <w:ind w:firstLine="482" w:firstLineChars="200"/>
        <w:rPr>
          <w:rFonts w:hint="eastAsia"/>
          <w:b/>
        </w:rPr>
      </w:pPr>
      <w:r>
        <w:rPr>
          <w:rFonts w:hint="eastAsia"/>
          <w:b/>
        </w:rPr>
        <w:t>第八部分 公共产品与地区财政</w:t>
      </w:r>
    </w:p>
    <w:p w14:paraId="4857A079">
      <w:pPr>
        <w:pStyle w:val="3"/>
        <w:numPr>
          <w:ilvl w:val="0"/>
          <w:numId w:val="3"/>
        </w:numPr>
        <w:adjustRightInd w:val="0"/>
        <w:snapToGrid w:val="0"/>
        <w:spacing w:before="0" w:beforeAutospacing="0" w:after="0" w:afterAutospacing="0"/>
        <w:ind w:firstLine="480" w:firstLineChars="200"/>
        <w:rPr>
          <w:rFonts w:hint="eastAsia"/>
        </w:rPr>
      </w:pPr>
      <w:r>
        <w:rPr>
          <w:rFonts w:hint="eastAsia"/>
        </w:rPr>
        <w:t>公共产品与外部性</w:t>
      </w:r>
    </w:p>
    <w:p w14:paraId="1F4E4601">
      <w:pPr>
        <w:pStyle w:val="3"/>
        <w:numPr>
          <w:ilvl w:val="0"/>
          <w:numId w:val="3"/>
        </w:numPr>
        <w:adjustRightInd w:val="0"/>
        <w:snapToGrid w:val="0"/>
        <w:spacing w:before="0" w:beforeAutospacing="0" w:after="0" w:afterAutospacing="0"/>
        <w:ind w:firstLine="480" w:firstLineChars="200"/>
        <w:rPr>
          <w:rFonts w:hint="eastAsia"/>
        </w:rPr>
      </w:pPr>
      <w:r>
        <w:rPr>
          <w:rFonts w:hint="eastAsia"/>
        </w:rPr>
        <w:t>萨缪尔森公共品供应与布坎南俱乐部</w:t>
      </w:r>
    </w:p>
    <w:p w14:paraId="2942DACC">
      <w:pPr>
        <w:pStyle w:val="3"/>
        <w:numPr>
          <w:ilvl w:val="0"/>
          <w:numId w:val="3"/>
        </w:numPr>
        <w:adjustRightInd w:val="0"/>
        <w:snapToGrid w:val="0"/>
        <w:spacing w:before="0" w:beforeAutospacing="0" w:after="0" w:afterAutospacing="0"/>
        <w:ind w:firstLine="480" w:firstLineChars="200"/>
        <w:rPr>
          <w:rFonts w:hint="eastAsia"/>
        </w:rPr>
      </w:pPr>
      <w:r>
        <w:rPr>
          <w:rFonts w:hint="eastAsia"/>
        </w:rPr>
        <w:t>蒂伯特模型与财政联邦主义</w:t>
      </w:r>
    </w:p>
    <w:p w14:paraId="310905F7">
      <w:pPr>
        <w:pStyle w:val="3"/>
        <w:numPr>
          <w:ilvl w:val="0"/>
          <w:numId w:val="3"/>
        </w:numPr>
        <w:adjustRightInd w:val="0"/>
        <w:snapToGrid w:val="0"/>
        <w:spacing w:before="0" w:beforeAutospacing="0" w:after="0" w:afterAutospacing="0"/>
        <w:ind w:firstLine="480" w:firstLineChars="200"/>
        <w:rPr>
          <w:rFonts w:hint="eastAsia"/>
        </w:rPr>
      </w:pPr>
      <w:r>
        <w:rPr>
          <w:rFonts w:hint="eastAsia"/>
        </w:rPr>
        <w:t>区域经济协调</w:t>
      </w:r>
    </w:p>
    <w:p w14:paraId="59AFAAC6">
      <w:pPr>
        <w:pStyle w:val="3"/>
        <w:adjustRightInd w:val="0"/>
        <w:snapToGrid w:val="0"/>
        <w:spacing w:before="0" w:beforeAutospacing="0" w:after="0" w:afterAutospacing="0"/>
        <w:ind w:firstLine="482" w:firstLineChars="200"/>
        <w:rPr>
          <w:rFonts w:hint="eastAsia"/>
          <w:b/>
        </w:rPr>
      </w:pPr>
      <w:r>
        <w:rPr>
          <w:rFonts w:hint="eastAsia"/>
          <w:b/>
        </w:rPr>
        <w:t>第九部分 区域经济政策</w:t>
      </w:r>
    </w:p>
    <w:p w14:paraId="5AAA74D6">
      <w:pPr>
        <w:pStyle w:val="3"/>
        <w:numPr>
          <w:ilvl w:val="0"/>
          <w:numId w:val="3"/>
        </w:numPr>
        <w:adjustRightInd w:val="0"/>
        <w:snapToGrid w:val="0"/>
        <w:spacing w:before="0" w:beforeAutospacing="0" w:after="0" w:afterAutospacing="0"/>
        <w:ind w:firstLine="480" w:firstLineChars="200"/>
        <w:rPr>
          <w:rFonts w:hint="eastAsia"/>
        </w:rPr>
      </w:pPr>
      <w:r>
        <w:rPr>
          <w:rFonts w:hint="eastAsia"/>
        </w:rPr>
        <w:t>区域经济政策工具</w:t>
      </w:r>
    </w:p>
    <w:p w14:paraId="0B8476D1">
      <w:pPr>
        <w:pStyle w:val="3"/>
        <w:numPr>
          <w:ilvl w:val="0"/>
          <w:numId w:val="3"/>
        </w:numPr>
        <w:adjustRightInd w:val="0"/>
        <w:snapToGrid w:val="0"/>
        <w:spacing w:before="0" w:beforeAutospacing="0" w:after="0" w:afterAutospacing="0"/>
        <w:ind w:firstLine="480" w:firstLineChars="200"/>
        <w:rPr>
          <w:rFonts w:hint="eastAsia"/>
        </w:rPr>
      </w:pPr>
      <w:r>
        <w:rPr>
          <w:rFonts w:hint="eastAsia"/>
        </w:rPr>
        <w:t>区位商与主导产业选择</w:t>
      </w:r>
    </w:p>
    <w:p w14:paraId="0D8AB5D5">
      <w:pPr>
        <w:pStyle w:val="3"/>
        <w:numPr>
          <w:ilvl w:val="0"/>
          <w:numId w:val="3"/>
        </w:numPr>
        <w:adjustRightInd w:val="0"/>
        <w:snapToGrid w:val="0"/>
        <w:spacing w:before="0" w:beforeAutospacing="0" w:after="0" w:afterAutospacing="0"/>
        <w:ind w:firstLine="480" w:firstLineChars="200"/>
        <w:rPr>
          <w:rFonts w:hint="eastAsia"/>
        </w:rPr>
      </w:pPr>
      <w:r>
        <w:rPr>
          <w:rFonts w:hint="eastAsia"/>
        </w:rPr>
        <w:t>建国后区域经济政策实践</w:t>
      </w:r>
    </w:p>
    <w:p w14:paraId="607985A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12DEEF2">
      <w:pPr>
        <w:rPr>
          <w:rFonts w:hint="eastAsia" w:eastAsiaTheme="minorEastAsia"/>
          <w:lang w:val="en-US" w:eastAsia="zh-CN"/>
        </w:rPr>
      </w:pPr>
    </w:p>
    <w:p w14:paraId="333142E3">
      <w:pPr>
        <w:rPr>
          <w:rFonts w:hint="eastAsia" w:eastAsiaTheme="minorEastAsia"/>
          <w:lang w:val="en-US" w:eastAsia="zh-CN"/>
        </w:rPr>
      </w:pPr>
    </w:p>
    <w:p w14:paraId="6820A2A1">
      <w:pPr>
        <w:jc w:val="center"/>
        <w:rPr>
          <w:rFonts w:hint="default"/>
          <w:sz w:val="24"/>
          <w:szCs w:val="32"/>
          <w:lang w:val="en-US" w:eastAsia="zh-CN"/>
        </w:rPr>
      </w:pPr>
      <w:r>
        <w:rPr>
          <w:rFonts w:hint="eastAsia"/>
          <w:sz w:val="24"/>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A1F81"/>
    <w:multiLevelType w:val="multilevel"/>
    <w:tmpl w:val="08AA1F81"/>
    <w:lvl w:ilvl="0" w:tentative="0">
      <w:start w:val="1"/>
      <w:numFmt w:val="bullet"/>
      <w:lvlText w:val=""/>
      <w:lvlJc w:val="left"/>
      <w:pPr>
        <w:tabs>
          <w:tab w:val="left" w:pos="357"/>
        </w:tabs>
        <w:ind w:left="0" w:firstLine="36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0EC6B28"/>
    <w:rsid w:val="1E4914E1"/>
    <w:rsid w:val="22B32F52"/>
    <w:rsid w:val="2C334F53"/>
    <w:rsid w:val="34AB66CA"/>
    <w:rsid w:val="3C255EF1"/>
    <w:rsid w:val="40F02470"/>
    <w:rsid w:val="4B3D60C8"/>
    <w:rsid w:val="4FA673B0"/>
    <w:rsid w:val="65E26D67"/>
    <w:rsid w:val="67037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2055</Words>
  <Characters>2083</Characters>
  <Lines>0</Lines>
  <Paragraphs>0</Paragraphs>
  <TotalTime>0</TotalTime>
  <ScaleCrop>false</ScaleCrop>
  <LinksUpToDate>false</LinksUpToDate>
  <CharactersWithSpaces>2752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2026-09-27T08:58:11Z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