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C8855">
      <w:pPr>
        <w:jc w:val="center"/>
        <w:rPr>
          <w:rFonts w:hint="eastAsia" w:ascii="宋体" w:hAnsi="宋体" w:cs="宋体"/>
          <w:b/>
          <w:bCs/>
          <w:sz w:val="32"/>
          <w:szCs w:val="32"/>
        </w:rPr>
      </w:pPr>
      <w:r>
        <w:rPr>
          <w:rFonts w:hint="eastAsia" w:ascii="宋体" w:hAnsi="宋体" w:cs="宋体"/>
          <w:b/>
          <w:bCs/>
          <w:sz w:val="32"/>
          <w:szCs w:val="32"/>
        </w:rPr>
        <w:t>国际中文教育（0453）</w:t>
      </w:r>
    </w:p>
    <w:p w14:paraId="46F6CDB7">
      <w:pPr>
        <w:rPr>
          <w:rFonts w:hint="eastAsia" w:ascii="宋体" w:hAnsi="宋体" w:cs="宋体"/>
          <w:sz w:val="24"/>
          <w:szCs w:val="24"/>
        </w:rPr>
      </w:pPr>
    </w:p>
    <w:p w14:paraId="053EBF19">
      <w:pPr>
        <w:spacing w:line="360" w:lineRule="auto"/>
        <w:ind w:firstLine="420"/>
        <w:rPr>
          <w:rFonts w:hint="eastAsia" w:ascii="宋体" w:hAnsi="宋体" w:cs="宋体"/>
          <w:sz w:val="24"/>
          <w:szCs w:val="24"/>
        </w:rPr>
      </w:pPr>
      <w:r>
        <w:rPr>
          <w:rFonts w:hint="eastAsia" w:ascii="宋体" w:hAnsi="宋体" w:cs="宋体"/>
          <w:b/>
          <w:bCs/>
          <w:sz w:val="24"/>
          <w:szCs w:val="24"/>
        </w:rPr>
        <w:t>学科点简介：</w:t>
      </w:r>
      <w:r>
        <w:rPr>
          <w:rFonts w:hint="eastAsia" w:ascii="宋体" w:hAnsi="宋体" w:cs="宋体"/>
          <w:sz w:val="24"/>
          <w:szCs w:val="24"/>
        </w:rPr>
        <w:t>国际中文教育硕士点隶属于广东财经大学人文与传播学院、网络传播学院（合署）。本硕士学位授权点为国际中文教育南方联盟成员单位、粤港澳高校汉语言教育联盟成员单位。现有专任教师31人，8</w:t>
      </w:r>
      <w:r>
        <w:rPr>
          <w:rFonts w:ascii="宋体" w:hAnsi="宋体" w:cs="宋体"/>
          <w:sz w:val="24"/>
          <w:szCs w:val="24"/>
        </w:rPr>
        <w:t>0</w:t>
      </w:r>
      <w:r>
        <w:rPr>
          <w:rFonts w:hint="eastAsia" w:ascii="宋体" w:hAnsi="宋体" w:cs="宋体"/>
          <w:sz w:val="24"/>
          <w:szCs w:val="24"/>
        </w:rPr>
        <w:t>%的教师具有国际中文教育资格证书或具有丰富的国际中文教育实践经验；1名教师获评广东省师德先进个人、南粤优秀教师称号，2名教师获得广东省高校(本科)青年教师教学大赛三等奖；2名教师为广东省普通高等学校专业教学指导委员会委员，</w:t>
      </w:r>
      <w:r>
        <w:rPr>
          <w:rFonts w:ascii="宋体" w:hAnsi="宋体" w:cs="宋体"/>
          <w:sz w:val="24"/>
          <w:szCs w:val="24"/>
        </w:rPr>
        <w:t>1</w:t>
      </w:r>
      <w:r>
        <w:rPr>
          <w:rFonts w:hint="eastAsia" w:ascii="宋体" w:hAnsi="宋体" w:cs="宋体"/>
          <w:sz w:val="24"/>
          <w:szCs w:val="24"/>
        </w:rPr>
        <w:t>名教师为广东省文学学会副会长，1名教师为广东省写作学会副会长，1名教师为广东省语言文字教育教学与测试类专家。拥有1支省级教学团队，主持省部级教研项目8项；主持国家社科基金项目</w:t>
      </w:r>
      <w:r>
        <w:rPr>
          <w:rFonts w:ascii="宋体" w:hAnsi="宋体" w:cs="宋体"/>
          <w:sz w:val="24"/>
          <w:szCs w:val="24"/>
        </w:rPr>
        <w:t>4</w:t>
      </w:r>
      <w:r>
        <w:rPr>
          <w:rFonts w:hint="eastAsia" w:ascii="宋体" w:hAnsi="宋体" w:cs="宋体"/>
          <w:sz w:val="24"/>
          <w:szCs w:val="24"/>
        </w:rPr>
        <w:t>项，省部级以上科研课题</w:t>
      </w:r>
      <w:r>
        <w:rPr>
          <w:rFonts w:ascii="宋体" w:hAnsi="宋体" w:cs="宋体"/>
          <w:sz w:val="24"/>
          <w:szCs w:val="24"/>
        </w:rPr>
        <w:t>36</w:t>
      </w:r>
      <w:r>
        <w:rPr>
          <w:rFonts w:hint="eastAsia" w:ascii="宋体" w:hAnsi="宋体" w:cs="宋体"/>
          <w:sz w:val="24"/>
          <w:szCs w:val="24"/>
        </w:rPr>
        <w:t>项，获得省部级科研成果奖、全国性行业科研奖励</w:t>
      </w:r>
      <w:r>
        <w:rPr>
          <w:rFonts w:ascii="宋体" w:hAnsi="宋体" w:cs="宋体"/>
          <w:sz w:val="24"/>
          <w:szCs w:val="24"/>
        </w:rPr>
        <w:t>8</w:t>
      </w:r>
      <w:r>
        <w:rPr>
          <w:rFonts w:hint="eastAsia" w:ascii="宋体" w:hAnsi="宋体" w:cs="宋体"/>
          <w:sz w:val="24"/>
          <w:szCs w:val="24"/>
        </w:rPr>
        <w:t>项，近5年出版著作1</w:t>
      </w:r>
      <w:r>
        <w:rPr>
          <w:rFonts w:ascii="宋体" w:hAnsi="宋体" w:cs="宋体"/>
          <w:sz w:val="24"/>
          <w:szCs w:val="24"/>
        </w:rPr>
        <w:t>5</w:t>
      </w:r>
      <w:r>
        <w:rPr>
          <w:rFonts w:hint="eastAsia" w:ascii="宋体" w:hAnsi="宋体" w:cs="宋体"/>
          <w:sz w:val="24"/>
          <w:szCs w:val="24"/>
        </w:rPr>
        <w:t>部，发表学术论文1</w:t>
      </w:r>
      <w:r>
        <w:rPr>
          <w:rFonts w:ascii="宋体" w:hAnsi="宋体" w:cs="宋体"/>
          <w:sz w:val="24"/>
          <w:szCs w:val="24"/>
        </w:rPr>
        <w:t>84</w:t>
      </w:r>
      <w:r>
        <w:rPr>
          <w:rFonts w:hint="eastAsia" w:ascii="宋体" w:hAnsi="宋体" w:cs="宋体"/>
          <w:sz w:val="24"/>
          <w:szCs w:val="24"/>
        </w:rPr>
        <w:t>篇。</w:t>
      </w:r>
    </w:p>
    <w:p w14:paraId="5335DED9">
      <w:pPr>
        <w:rPr>
          <w:rFonts w:hint="eastAsia" w:ascii="宋体" w:hAnsi="宋体" w:cs="宋体"/>
          <w:sz w:val="24"/>
          <w:szCs w:val="24"/>
        </w:rPr>
      </w:pPr>
    </w:p>
    <w:p w14:paraId="54B31095">
      <w:pPr>
        <w:spacing w:line="360" w:lineRule="auto"/>
        <w:jc w:val="left"/>
        <w:rPr>
          <w:rFonts w:hint="eastAsia" w:ascii="宋体" w:hAnsi="宋体"/>
          <w:bCs/>
          <w:sz w:val="24"/>
        </w:rPr>
      </w:pPr>
      <w:r>
        <w:rPr>
          <w:rFonts w:hint="eastAsia" w:ascii="宋体" w:hAnsi="宋体" w:cs="宋体"/>
          <w:b/>
          <w:bCs/>
          <w:sz w:val="24"/>
          <w:szCs w:val="24"/>
        </w:rPr>
        <w:t>培养目标：</w:t>
      </w:r>
      <w:r>
        <w:rPr>
          <w:rFonts w:hint="eastAsia" w:ascii="宋体" w:hAnsi="宋体"/>
          <w:bCs/>
          <w:sz w:val="24"/>
        </w:rPr>
        <w:t>本专业旨在培养具有熟练的汉语作为第二语言教学技能、良好的中华文化传播技能与跨文化交际能力，适应汉语国际推广工作并胜任多种教学任务的拥有全球视野和财经背景、具有家国情怀的高层次、应用型、复合型、国际化专门人才。</w:t>
      </w:r>
    </w:p>
    <w:p w14:paraId="74901797">
      <w:pPr>
        <w:rPr>
          <w:rFonts w:hint="eastAsia" w:ascii="宋体" w:hAnsi="宋体" w:cs="宋体"/>
          <w:sz w:val="24"/>
          <w:szCs w:val="24"/>
        </w:rPr>
      </w:pPr>
    </w:p>
    <w:p w14:paraId="56E5F889">
      <w:pPr>
        <w:rPr>
          <w:rFonts w:hint="eastAsia" w:ascii="宋体" w:hAnsi="宋体" w:cs="宋体"/>
          <w:sz w:val="24"/>
          <w:szCs w:val="24"/>
        </w:rPr>
      </w:pPr>
      <w:r>
        <w:rPr>
          <w:rFonts w:hint="eastAsia" w:ascii="宋体" w:hAnsi="宋体" w:cs="宋体"/>
          <w:b/>
          <w:bCs/>
          <w:sz w:val="24"/>
          <w:szCs w:val="24"/>
        </w:rPr>
        <w:t>主要课程：</w:t>
      </w:r>
      <w:r>
        <w:rPr>
          <w:rFonts w:hint="eastAsia" w:ascii="宋体" w:hAnsi="宋体" w:cs="宋体"/>
          <w:bCs/>
          <w:sz w:val="24"/>
          <w:szCs w:val="24"/>
        </w:rPr>
        <w:t>汉语作为第二语言教学</w:t>
      </w:r>
      <w:r>
        <w:rPr>
          <w:rFonts w:hint="eastAsia" w:ascii="宋体" w:hAnsi="宋体" w:cs="宋体"/>
          <w:sz w:val="24"/>
          <w:szCs w:val="24"/>
        </w:rPr>
        <w:t>、第二语言习得、国际汉语教学案例、汉语语音及其教学、汉语语法及其教学、汉语词汇及其教学、中华文化与传播、跨文化交际、教学测试与评估、教学调查与分析、汉外语言对比及偏误分析。</w:t>
      </w:r>
    </w:p>
    <w:p w14:paraId="4F7C8333">
      <w:pPr>
        <w:rPr>
          <w:rFonts w:hint="eastAsia" w:ascii="宋体" w:hAnsi="宋体" w:cs="宋体"/>
          <w:sz w:val="24"/>
          <w:szCs w:val="24"/>
        </w:rPr>
      </w:pPr>
    </w:p>
    <w:p w14:paraId="76C216C9">
      <w:pPr>
        <w:rPr>
          <w:rFonts w:hint="eastAsia" w:ascii="宋体" w:hAnsi="宋体" w:cs="宋体"/>
          <w:sz w:val="24"/>
          <w:szCs w:val="24"/>
        </w:rPr>
      </w:pPr>
      <w:r>
        <w:rPr>
          <w:rFonts w:hint="eastAsia" w:ascii="宋体" w:hAnsi="宋体" w:cs="宋体"/>
          <w:b/>
          <w:bCs/>
          <w:sz w:val="24"/>
          <w:szCs w:val="24"/>
        </w:rPr>
        <w:t>就业方向：</w:t>
      </w:r>
      <w:r>
        <w:rPr>
          <w:rFonts w:hint="eastAsia" w:ascii="宋体" w:hAnsi="宋体" w:cs="宋体"/>
          <w:bCs/>
          <w:sz w:val="24"/>
          <w:szCs w:val="24"/>
        </w:rPr>
        <w:t>境外汉语教师</w:t>
      </w:r>
      <w:r>
        <w:rPr>
          <w:rFonts w:hint="eastAsia" w:ascii="宋体" w:hAnsi="宋体" w:cs="宋体"/>
          <w:sz w:val="24"/>
          <w:szCs w:val="24"/>
        </w:rPr>
        <w:t>、国际学校教师、国际教育顾问、中小学语文教师、涉外公司文秘、文化传媒公司、企事业单位等，或进一步攻读相关学科的博士研究生。</w:t>
      </w:r>
    </w:p>
    <w:p w14:paraId="0EF1265E">
      <w:pPr>
        <w:rPr>
          <w:rFonts w:hint="eastAsia" w:ascii="宋体" w:hAnsi="宋体" w:cs="宋体"/>
          <w:sz w:val="24"/>
          <w:szCs w:val="24"/>
        </w:rPr>
      </w:pPr>
    </w:p>
    <w:p w14:paraId="545995AD">
      <w:pPr>
        <w:ind w:firstLine="600"/>
        <w:rPr>
          <w:rFonts w:hint="eastAsia" w:ascii="宋体" w:hAnsi="宋体" w:cs="宋体"/>
          <w:b/>
          <w:bCs/>
          <w:sz w:val="24"/>
          <w:szCs w:val="24"/>
        </w:rPr>
      </w:pPr>
      <w:r>
        <w:rPr>
          <w:rFonts w:hint="eastAsia" w:ascii="宋体" w:hAnsi="宋体" w:cs="宋体"/>
          <w:b/>
          <w:bCs/>
          <w:sz w:val="24"/>
          <w:szCs w:val="24"/>
        </w:rPr>
        <w:t xml:space="preserve">专业代码：0453     咨询电话：   </w:t>
      </w:r>
      <w:r>
        <w:rPr>
          <w:rFonts w:hint="eastAsia" w:ascii="宋体" w:hAnsi="宋体"/>
          <w:b/>
          <w:sz w:val="24"/>
          <w:szCs w:val="20"/>
        </w:rPr>
        <w:t xml:space="preserve"> 020-84096903</w:t>
      </w:r>
    </w:p>
    <w:tbl>
      <w:tblPr>
        <w:tblStyle w:val="11"/>
        <w:tblW w:w="826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09"/>
        <w:gridCol w:w="1786"/>
        <w:gridCol w:w="3707"/>
        <w:gridCol w:w="2061"/>
      </w:tblGrid>
      <w:tr w14:paraId="140408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tblCellSpacing w:w="0" w:type="dxa"/>
          <w:jc w:val="center"/>
        </w:trPr>
        <w:tc>
          <w:tcPr>
            <w:tcW w:w="709" w:type="dxa"/>
            <w:tcBorders>
              <w:top w:val="outset" w:color="auto" w:sz="6" w:space="0"/>
              <w:left w:val="outset" w:color="auto" w:sz="6" w:space="0"/>
              <w:bottom w:val="outset" w:color="auto" w:sz="6" w:space="0"/>
              <w:right w:val="outset" w:color="auto" w:sz="6" w:space="0"/>
            </w:tcBorders>
            <w:vAlign w:val="center"/>
          </w:tcPr>
          <w:p w14:paraId="0BCFEA2A">
            <w:pPr>
              <w:pStyle w:val="9"/>
              <w:jc w:val="center"/>
              <w:rPr>
                <w:rFonts w:cs="宋体"/>
              </w:rPr>
            </w:pPr>
            <w:r>
              <w:rPr>
                <w:rFonts w:cs="宋体"/>
                <w:b/>
                <w:bCs/>
              </w:rPr>
              <w:t>序号</w:t>
            </w:r>
          </w:p>
        </w:tc>
        <w:tc>
          <w:tcPr>
            <w:tcW w:w="1786" w:type="dxa"/>
            <w:tcBorders>
              <w:top w:val="outset" w:color="auto" w:sz="6" w:space="0"/>
              <w:left w:val="outset" w:color="auto" w:sz="6" w:space="0"/>
              <w:bottom w:val="outset" w:color="auto" w:sz="6" w:space="0"/>
              <w:right w:val="outset" w:color="auto" w:sz="6" w:space="0"/>
            </w:tcBorders>
            <w:vAlign w:val="center"/>
          </w:tcPr>
          <w:p w14:paraId="4256F857">
            <w:pPr>
              <w:pStyle w:val="9"/>
              <w:jc w:val="center"/>
              <w:rPr>
                <w:rFonts w:cs="宋体"/>
              </w:rPr>
            </w:pPr>
            <w:r>
              <w:rPr>
                <w:rFonts w:cs="宋体"/>
                <w:b/>
                <w:bCs/>
              </w:rPr>
              <w:t>研究方向</w:t>
            </w:r>
          </w:p>
        </w:tc>
        <w:tc>
          <w:tcPr>
            <w:tcW w:w="3707" w:type="dxa"/>
            <w:tcBorders>
              <w:top w:val="outset" w:color="auto" w:sz="6" w:space="0"/>
              <w:left w:val="outset" w:color="auto" w:sz="6" w:space="0"/>
              <w:bottom w:val="outset" w:color="auto" w:sz="6" w:space="0"/>
              <w:right w:val="outset" w:color="auto" w:sz="6" w:space="0"/>
            </w:tcBorders>
            <w:vAlign w:val="center"/>
          </w:tcPr>
          <w:p w14:paraId="1D820C75">
            <w:pPr>
              <w:pStyle w:val="9"/>
              <w:jc w:val="center"/>
              <w:rPr>
                <w:rFonts w:cs="宋体"/>
              </w:rPr>
            </w:pPr>
            <w:r>
              <w:rPr>
                <w:rFonts w:cs="宋体"/>
                <w:b/>
                <w:bCs/>
              </w:rPr>
              <w:t>初试课目</w:t>
            </w:r>
          </w:p>
        </w:tc>
        <w:tc>
          <w:tcPr>
            <w:tcW w:w="2061" w:type="dxa"/>
            <w:tcBorders>
              <w:top w:val="outset" w:color="auto" w:sz="6" w:space="0"/>
              <w:left w:val="outset" w:color="auto" w:sz="6" w:space="0"/>
              <w:bottom w:val="outset" w:color="auto" w:sz="6" w:space="0"/>
              <w:right w:val="outset" w:color="auto" w:sz="6" w:space="0"/>
            </w:tcBorders>
            <w:vAlign w:val="center"/>
          </w:tcPr>
          <w:p w14:paraId="212498BB">
            <w:pPr>
              <w:pStyle w:val="9"/>
              <w:jc w:val="center"/>
              <w:rPr>
                <w:rFonts w:cs="宋体"/>
              </w:rPr>
            </w:pPr>
            <w:r>
              <w:rPr>
                <w:rFonts w:cs="宋体"/>
                <w:b/>
                <w:bCs/>
              </w:rPr>
              <w:t>复试课目</w:t>
            </w:r>
          </w:p>
        </w:tc>
      </w:tr>
      <w:tr w14:paraId="591BF3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37" w:hRule="atLeast"/>
          <w:tblCellSpacing w:w="0" w:type="dxa"/>
          <w:jc w:val="center"/>
        </w:trPr>
        <w:tc>
          <w:tcPr>
            <w:tcW w:w="2495" w:type="dxa"/>
            <w:gridSpan w:val="2"/>
            <w:tcBorders>
              <w:top w:val="outset" w:color="auto" w:sz="6" w:space="0"/>
              <w:left w:val="outset" w:color="auto" w:sz="6" w:space="0"/>
              <w:right w:val="outset" w:color="auto" w:sz="6" w:space="0"/>
            </w:tcBorders>
            <w:vAlign w:val="center"/>
          </w:tcPr>
          <w:p w14:paraId="79C952DA">
            <w:pPr>
              <w:pStyle w:val="9"/>
              <w:jc w:val="center"/>
              <w:rPr>
                <w:rFonts w:cs="宋体"/>
                <w:kern w:val="2"/>
              </w:rPr>
            </w:pPr>
            <w:r>
              <w:rPr>
                <w:rFonts w:cs="宋体"/>
              </w:rPr>
              <w:t>不分方向</w:t>
            </w:r>
          </w:p>
        </w:tc>
        <w:tc>
          <w:tcPr>
            <w:tcW w:w="3707" w:type="dxa"/>
            <w:tcBorders>
              <w:top w:val="outset" w:color="auto" w:sz="6" w:space="0"/>
              <w:left w:val="outset" w:color="auto" w:sz="6" w:space="0"/>
              <w:right w:val="outset" w:color="auto" w:sz="6" w:space="0"/>
            </w:tcBorders>
            <w:vAlign w:val="center"/>
          </w:tcPr>
          <w:p w14:paraId="3B7C6D88">
            <w:pPr>
              <w:pStyle w:val="9"/>
              <w:spacing w:before="0" w:beforeAutospacing="0" w:after="0" w:afterAutospacing="0"/>
              <w:jc w:val="both"/>
              <w:rPr>
                <w:rFonts w:cs="宋体"/>
              </w:rPr>
            </w:pPr>
            <w:r>
              <w:rPr>
                <w:rFonts w:cs="宋体"/>
              </w:rPr>
              <w:t>（1）▲思想政治理论（100分）</w:t>
            </w:r>
          </w:p>
          <w:p w14:paraId="2F82C975">
            <w:pPr>
              <w:pStyle w:val="9"/>
              <w:spacing w:before="0" w:beforeAutospacing="0" w:after="0" w:afterAutospacing="0"/>
              <w:jc w:val="both"/>
              <w:rPr>
                <w:rFonts w:cs="宋体"/>
              </w:rPr>
            </w:pPr>
            <w:r>
              <w:rPr>
                <w:rFonts w:cs="宋体"/>
              </w:rPr>
              <w:t>（2）▲英语（一）（100分）</w:t>
            </w:r>
          </w:p>
          <w:p w14:paraId="4777592E">
            <w:pPr>
              <w:pStyle w:val="9"/>
              <w:spacing w:before="0" w:beforeAutospacing="0" w:after="0" w:afterAutospacing="0"/>
              <w:rPr>
                <w:rFonts w:cs="宋体"/>
              </w:rPr>
            </w:pPr>
            <w:r>
              <w:rPr>
                <w:rFonts w:cs="宋体"/>
              </w:rPr>
              <w:t>（3）354汉语基础（150分）</w:t>
            </w:r>
          </w:p>
          <w:p w14:paraId="48A52515">
            <w:pPr>
              <w:pStyle w:val="9"/>
              <w:spacing w:before="0" w:beforeAutospacing="0" w:after="0" w:afterAutospacing="0"/>
              <w:rPr>
                <w:rFonts w:cs="宋体"/>
              </w:rPr>
            </w:pPr>
            <w:r>
              <w:rPr>
                <w:rFonts w:cs="宋体"/>
              </w:rPr>
              <w:t>（4）445汉语国际教育基础（150分）</w:t>
            </w:r>
          </w:p>
        </w:tc>
        <w:tc>
          <w:tcPr>
            <w:tcW w:w="2061" w:type="dxa"/>
            <w:tcBorders>
              <w:top w:val="outset" w:color="auto" w:sz="6" w:space="0"/>
              <w:left w:val="outset" w:color="auto" w:sz="6" w:space="0"/>
              <w:right w:val="outset" w:color="auto" w:sz="6" w:space="0"/>
            </w:tcBorders>
            <w:vAlign w:val="center"/>
          </w:tcPr>
          <w:p w14:paraId="028C7BA3">
            <w:pPr>
              <w:pStyle w:val="9"/>
              <w:spacing w:before="0" w:beforeAutospacing="0" w:after="0" w:afterAutospacing="0"/>
              <w:jc w:val="center"/>
              <w:rPr>
                <w:rFonts w:cs="宋体"/>
              </w:rPr>
            </w:pPr>
            <w:r>
              <w:rPr>
                <w:rFonts w:cs="宋体"/>
              </w:rPr>
              <w:t>F555专业知识与技能</w:t>
            </w:r>
          </w:p>
          <w:p w14:paraId="626FC9FF">
            <w:pPr>
              <w:pStyle w:val="9"/>
              <w:spacing w:before="0" w:beforeAutospacing="0" w:after="0" w:afterAutospacing="0"/>
              <w:jc w:val="center"/>
              <w:rPr>
                <w:rFonts w:cs="宋体"/>
              </w:rPr>
            </w:pPr>
            <w:r>
              <w:rPr>
                <w:rFonts w:cs="宋体"/>
              </w:rPr>
              <w:t>（100分）</w:t>
            </w:r>
          </w:p>
          <w:p w14:paraId="75A514CD">
            <w:pPr>
              <w:pStyle w:val="9"/>
              <w:spacing w:before="0" w:beforeAutospacing="0" w:after="0" w:afterAutospacing="0"/>
              <w:jc w:val="center"/>
              <w:rPr>
                <w:rFonts w:cs="宋体"/>
                <w:color w:val="FF0000"/>
              </w:rPr>
            </w:pPr>
            <w:bookmarkStart w:id="0" w:name="_GoBack"/>
            <w:r>
              <w:rPr>
                <w:rFonts w:hint="default" w:cs="宋体"/>
                <w:color w:val="auto"/>
              </w:rPr>
              <w:t>同等学力加试应用语言学、对外汉语教学法</w:t>
            </w:r>
            <w:bookmarkEnd w:id="0"/>
          </w:p>
        </w:tc>
      </w:tr>
    </w:tbl>
    <w:p w14:paraId="204C3AF2">
      <w:pPr>
        <w:rPr>
          <w:rFonts w:hint="eastAsia" w:ascii="宋体" w:hAnsi="宋体" w:cs="宋体"/>
          <w:sz w:val="24"/>
          <w:szCs w:val="24"/>
        </w:rPr>
      </w:pPr>
      <w:r>
        <w:rPr>
          <w:rFonts w:hint="eastAsia" w:ascii="宋体" w:hAnsi="宋体" w:cs="宋体"/>
          <w:sz w:val="24"/>
          <w:szCs w:val="24"/>
        </w:rPr>
        <w:t>▲表示统考科目或联考科目，考试题型、考试大纲以教育部公布为准。其他为自命题科目。</w:t>
      </w:r>
    </w:p>
    <w:p w14:paraId="277E2198">
      <w:pPr>
        <w:rPr>
          <w:rFonts w:hint="eastAsia" w:ascii="宋体" w:hAnsi="宋体" w:cs="宋体"/>
          <w:sz w:val="24"/>
          <w:szCs w:val="24"/>
        </w:rPr>
      </w:pPr>
    </w:p>
    <w:p w14:paraId="2CDB893B">
      <w:pPr>
        <w:rPr>
          <w:rFonts w:hint="eastAsia" w:ascii="宋体" w:hAnsi="宋体" w:cs="宋体"/>
          <w:b/>
          <w:bCs/>
          <w:sz w:val="24"/>
          <w:szCs w:val="24"/>
        </w:rPr>
      </w:pPr>
      <w:r>
        <w:rPr>
          <w:rFonts w:hint="eastAsia" w:ascii="宋体" w:hAnsi="宋体" w:cs="宋体"/>
          <w:b/>
          <w:bCs/>
          <w:sz w:val="24"/>
          <w:szCs w:val="24"/>
        </w:rPr>
        <w:t>考试题型及相应分值：</w:t>
      </w:r>
    </w:p>
    <w:p w14:paraId="7D2C5B12">
      <w:pPr>
        <w:rPr>
          <w:rFonts w:hint="eastAsia" w:ascii="宋体" w:hAnsi="宋体" w:cs="宋体"/>
          <w:b/>
          <w:bCs/>
          <w:sz w:val="24"/>
          <w:szCs w:val="24"/>
        </w:rPr>
      </w:pPr>
      <w:r>
        <w:rPr>
          <w:rFonts w:hint="eastAsia" w:ascii="宋体" w:hAnsi="宋体" w:cs="宋体"/>
          <w:b/>
          <w:bCs/>
          <w:sz w:val="24"/>
          <w:szCs w:val="24"/>
        </w:rPr>
        <w:t>《汉语基础》</w:t>
      </w:r>
    </w:p>
    <w:p w14:paraId="29AEBC0C">
      <w:pPr>
        <w:rPr>
          <w:rFonts w:hint="eastAsia" w:ascii="宋体" w:hAnsi="宋体" w:cs="宋体"/>
          <w:bCs/>
          <w:sz w:val="24"/>
          <w:szCs w:val="24"/>
        </w:rPr>
      </w:pPr>
      <w:r>
        <w:rPr>
          <w:rFonts w:hint="eastAsia" w:ascii="宋体" w:hAnsi="宋体" w:cs="宋体"/>
          <w:bCs/>
          <w:sz w:val="24"/>
          <w:szCs w:val="24"/>
        </w:rPr>
        <w:t>（1）填空（10题，每题2分，共20分）</w:t>
      </w:r>
    </w:p>
    <w:p w14:paraId="2F70F19A">
      <w:pPr>
        <w:rPr>
          <w:rFonts w:hint="eastAsia" w:ascii="宋体" w:hAnsi="宋体" w:cs="宋体"/>
          <w:bCs/>
          <w:sz w:val="24"/>
          <w:szCs w:val="24"/>
        </w:rPr>
      </w:pPr>
      <w:r>
        <w:rPr>
          <w:rFonts w:hint="eastAsia" w:ascii="宋体" w:hAnsi="宋体" w:cs="宋体"/>
          <w:bCs/>
          <w:sz w:val="24"/>
          <w:szCs w:val="24"/>
        </w:rPr>
        <w:t>（2）名词解释（4题，每题5分，共20分）</w:t>
      </w:r>
    </w:p>
    <w:p w14:paraId="1AF1613D">
      <w:pPr>
        <w:rPr>
          <w:rFonts w:hint="eastAsia" w:ascii="宋体" w:hAnsi="宋体" w:cs="宋体"/>
          <w:bCs/>
          <w:sz w:val="24"/>
          <w:szCs w:val="24"/>
        </w:rPr>
      </w:pPr>
      <w:r>
        <w:rPr>
          <w:rFonts w:hint="eastAsia" w:ascii="宋体" w:hAnsi="宋体" w:cs="宋体"/>
          <w:bCs/>
          <w:sz w:val="24"/>
          <w:szCs w:val="24"/>
        </w:rPr>
        <w:t>（3）分析题（4题，每题10分，共40分）</w:t>
      </w:r>
    </w:p>
    <w:p w14:paraId="392C0ECB">
      <w:pPr>
        <w:rPr>
          <w:rFonts w:hint="eastAsia" w:ascii="宋体" w:hAnsi="宋体" w:cs="宋体"/>
          <w:bCs/>
          <w:sz w:val="24"/>
          <w:szCs w:val="24"/>
        </w:rPr>
      </w:pPr>
      <w:r>
        <w:rPr>
          <w:rFonts w:hint="eastAsia" w:ascii="宋体" w:hAnsi="宋体" w:cs="宋体"/>
          <w:bCs/>
          <w:sz w:val="24"/>
          <w:szCs w:val="24"/>
        </w:rPr>
        <w:t>（4）简答题（3题，每题10分，共30分）</w:t>
      </w:r>
    </w:p>
    <w:p w14:paraId="6A404CF9">
      <w:pPr>
        <w:rPr>
          <w:rFonts w:hint="eastAsia" w:ascii="宋体" w:hAnsi="宋体" w:cs="宋体"/>
          <w:bCs/>
          <w:sz w:val="24"/>
          <w:szCs w:val="24"/>
        </w:rPr>
      </w:pPr>
      <w:r>
        <w:rPr>
          <w:rFonts w:hint="eastAsia" w:ascii="宋体" w:hAnsi="宋体" w:cs="宋体"/>
          <w:bCs/>
          <w:sz w:val="24"/>
          <w:szCs w:val="24"/>
        </w:rPr>
        <w:t>（5）论述题（2题，每题20分，共40分）</w:t>
      </w:r>
    </w:p>
    <w:p w14:paraId="3FD5D462">
      <w:pPr>
        <w:rPr>
          <w:rFonts w:hint="eastAsia" w:ascii="宋体" w:hAnsi="宋体" w:cs="宋体"/>
          <w:sz w:val="24"/>
          <w:szCs w:val="24"/>
        </w:rPr>
      </w:pPr>
    </w:p>
    <w:p w14:paraId="09418AF9">
      <w:pPr>
        <w:rPr>
          <w:rFonts w:hint="eastAsia" w:ascii="宋体" w:hAnsi="宋体" w:cs="宋体"/>
          <w:sz w:val="24"/>
          <w:szCs w:val="24"/>
        </w:rPr>
      </w:pPr>
      <w:r>
        <w:rPr>
          <w:rFonts w:hint="eastAsia" w:ascii="宋体" w:hAnsi="宋体" w:cs="宋体"/>
          <w:sz w:val="24"/>
          <w:szCs w:val="24"/>
        </w:rPr>
        <w:t>参考书目：</w:t>
      </w:r>
    </w:p>
    <w:p w14:paraId="327D1DFE">
      <w:pPr>
        <w:rPr>
          <w:rFonts w:hint="eastAsia" w:ascii="宋体" w:hAnsi="宋体" w:cs="宋体"/>
          <w:sz w:val="24"/>
          <w:szCs w:val="24"/>
        </w:rPr>
      </w:pPr>
      <w:r>
        <w:rPr>
          <w:rFonts w:ascii="宋体" w:hAnsi="宋体" w:cs="宋体"/>
          <w:sz w:val="24"/>
          <w:szCs w:val="24"/>
        </w:rPr>
        <w:t>1.黄伯荣、廖序东主编《现代汉语》（增订六版）上下册，高等教育出版社，2017年。</w:t>
      </w:r>
    </w:p>
    <w:p w14:paraId="04F46135">
      <w:pPr>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叶蜚声、徐通锵著；王洪君、李娟修订《语言学纲要》（修订版），北京大学出版社，2010年。</w:t>
      </w:r>
    </w:p>
    <w:p w14:paraId="2E41F01E">
      <w:pPr>
        <w:rPr>
          <w:rFonts w:hint="eastAsia" w:ascii="宋体" w:hAnsi="宋体" w:cs="宋体"/>
          <w:sz w:val="24"/>
          <w:szCs w:val="24"/>
        </w:rPr>
      </w:pPr>
      <w:r>
        <w:rPr>
          <w:rFonts w:hint="eastAsia" w:ascii="宋体" w:hAnsi="宋体" w:cs="宋体"/>
          <w:sz w:val="24"/>
          <w:szCs w:val="24"/>
        </w:rPr>
        <w:t>3.王力主编《古代汉语》（校订重排本，1-2册），中华书局，1999年第3版。</w:t>
      </w:r>
    </w:p>
    <w:p w14:paraId="32A57BC7">
      <w:pPr>
        <w:rPr>
          <w:rFonts w:hint="eastAsia" w:ascii="宋体" w:hAnsi="宋体" w:cs="宋体"/>
          <w:sz w:val="24"/>
          <w:szCs w:val="24"/>
        </w:rPr>
      </w:pPr>
    </w:p>
    <w:p w14:paraId="118A42B5">
      <w:pPr>
        <w:rPr>
          <w:rFonts w:hint="eastAsia" w:ascii="宋体" w:hAnsi="宋体" w:cs="宋体"/>
          <w:sz w:val="24"/>
          <w:szCs w:val="24"/>
        </w:rPr>
      </w:pPr>
    </w:p>
    <w:p w14:paraId="002DE330">
      <w:pPr>
        <w:rPr>
          <w:rFonts w:hint="eastAsia"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汉语国际教育基础</w:t>
      </w:r>
      <w:r>
        <w:rPr>
          <w:rFonts w:hint="eastAsia" w:ascii="宋体" w:hAnsi="宋体" w:cs="宋体"/>
          <w:b/>
          <w:bCs/>
          <w:sz w:val="24"/>
          <w:szCs w:val="24"/>
        </w:rPr>
        <w:t>》</w:t>
      </w:r>
    </w:p>
    <w:p w14:paraId="7B715C36">
      <w:pPr>
        <w:rPr>
          <w:rFonts w:hint="eastAsia" w:ascii="宋体" w:hAnsi="宋体" w:cs="宋体"/>
          <w:sz w:val="24"/>
          <w:szCs w:val="24"/>
        </w:rPr>
      </w:pPr>
      <w:r>
        <w:rPr>
          <w:rFonts w:hint="eastAsia" w:ascii="宋体" w:hAnsi="宋体" w:cs="宋体"/>
          <w:sz w:val="24"/>
          <w:szCs w:val="24"/>
        </w:rPr>
        <w:t>（1）名词解释（4题，每题5分，共20分）</w:t>
      </w:r>
    </w:p>
    <w:p w14:paraId="46EB712A">
      <w:pPr>
        <w:rPr>
          <w:rFonts w:hint="eastAsia" w:ascii="宋体" w:hAnsi="宋体" w:cs="宋体"/>
          <w:sz w:val="24"/>
          <w:szCs w:val="24"/>
        </w:rPr>
      </w:pPr>
      <w:r>
        <w:rPr>
          <w:rFonts w:hint="eastAsia" w:ascii="宋体" w:hAnsi="宋体" w:cs="宋体"/>
          <w:sz w:val="24"/>
          <w:szCs w:val="24"/>
        </w:rPr>
        <w:t>（2）简答题（3题，每题10分，共30分）</w:t>
      </w:r>
    </w:p>
    <w:p w14:paraId="51612F8C">
      <w:pPr>
        <w:rPr>
          <w:rFonts w:hint="eastAsia" w:ascii="宋体" w:hAnsi="宋体" w:cs="宋体"/>
          <w:sz w:val="24"/>
          <w:szCs w:val="24"/>
        </w:rPr>
      </w:pPr>
      <w:r>
        <w:rPr>
          <w:rFonts w:hint="eastAsia" w:ascii="宋体" w:hAnsi="宋体" w:cs="宋体"/>
          <w:sz w:val="24"/>
          <w:szCs w:val="24"/>
        </w:rPr>
        <w:t>（3）论述题（2题，每题30分，共60分）</w:t>
      </w:r>
    </w:p>
    <w:p w14:paraId="1869FF27">
      <w:pPr>
        <w:rPr>
          <w:rFonts w:hint="eastAsia" w:ascii="宋体" w:hAnsi="宋体" w:cs="宋体"/>
          <w:sz w:val="24"/>
          <w:szCs w:val="24"/>
        </w:rPr>
      </w:pPr>
      <w:r>
        <w:rPr>
          <w:rFonts w:hint="eastAsia" w:ascii="宋体" w:hAnsi="宋体" w:cs="宋体"/>
          <w:sz w:val="24"/>
          <w:szCs w:val="24"/>
        </w:rPr>
        <w:t>（4）综合题（1题，每题40分，共40分）</w:t>
      </w:r>
    </w:p>
    <w:p w14:paraId="356E4739">
      <w:pPr>
        <w:rPr>
          <w:rFonts w:hint="eastAsia" w:ascii="宋体" w:hAnsi="宋体" w:cs="宋体"/>
          <w:sz w:val="24"/>
          <w:szCs w:val="24"/>
        </w:rPr>
      </w:pPr>
    </w:p>
    <w:p w14:paraId="62AF1731">
      <w:pPr>
        <w:rPr>
          <w:rFonts w:hint="eastAsia" w:ascii="宋体" w:hAnsi="宋体" w:cs="宋体"/>
          <w:sz w:val="24"/>
          <w:szCs w:val="24"/>
        </w:rPr>
      </w:pPr>
      <w:r>
        <w:rPr>
          <w:rFonts w:hint="eastAsia" w:ascii="宋体" w:hAnsi="宋体" w:cs="宋体"/>
          <w:sz w:val="24"/>
          <w:szCs w:val="24"/>
        </w:rPr>
        <w:t>参考书目：</w:t>
      </w:r>
    </w:p>
    <w:p w14:paraId="7219A98F">
      <w:pPr>
        <w:pStyle w:val="8"/>
        <w:shd w:val="clear" w:color="auto" w:fill="FFFFFF"/>
        <w:rPr>
          <w:rFonts w:hint="eastAsia"/>
          <w:color w:val="000000"/>
        </w:rPr>
      </w:pPr>
      <w:r>
        <w:rPr>
          <w:rFonts w:hint="eastAsia"/>
          <w:color w:val="000000"/>
        </w:rPr>
        <w:t>1.</w:t>
      </w:r>
      <w:r>
        <w:rPr>
          <w:color w:val="000000"/>
        </w:rPr>
        <w:t>周小兵主编《对外汉语教学入门》（第三版），中山大学出版社，2017年。</w:t>
      </w:r>
    </w:p>
    <w:p w14:paraId="5D8ACF54">
      <w:pPr>
        <w:pStyle w:val="8"/>
        <w:shd w:val="clear" w:color="auto" w:fill="FFFFFF"/>
        <w:rPr>
          <w:rFonts w:hint="eastAsia"/>
          <w:color w:val="000000"/>
        </w:rPr>
      </w:pPr>
      <w:r>
        <w:rPr>
          <w:color w:val="000000"/>
        </w:rPr>
        <w:t>2.程裕祯著《中国文化要略》（第四版），外语教学与研究出版社，2017年。</w:t>
      </w:r>
    </w:p>
    <w:p w14:paraId="3140B770">
      <w:pPr>
        <w:pStyle w:val="8"/>
        <w:shd w:val="clear" w:color="auto" w:fill="FFFFFF"/>
        <w:rPr>
          <w:rFonts w:hint="eastAsia"/>
          <w:color w:val="000000"/>
        </w:rPr>
      </w:pPr>
      <w:r>
        <w:rPr>
          <w:color w:val="000000"/>
        </w:rPr>
        <w:t>3.</w:t>
      </w:r>
      <w:r>
        <w:rPr>
          <w:rFonts w:hint="eastAsia"/>
        </w:rPr>
        <w:t>胡文仲著《跨文化交际学概论》，外语教学与研究出版社，2012年。</w:t>
      </w:r>
    </w:p>
    <w:p w14:paraId="1ACA0913">
      <w:pPr>
        <w:rPr>
          <w:rFonts w:hint="eastAsia" w:ascii="宋体" w:hAnsi="宋体" w:cs="宋体"/>
          <w:sz w:val="24"/>
          <w:szCs w:val="24"/>
        </w:rPr>
      </w:pPr>
    </w:p>
    <w:p w14:paraId="53CAD905">
      <w:pPr>
        <w:rPr>
          <w:rFonts w:hint="eastAsia" w:ascii="宋体" w:hAnsi="宋体" w:cs="宋体"/>
          <w:sz w:val="24"/>
          <w:szCs w:val="24"/>
        </w:rPr>
      </w:pPr>
    </w:p>
    <w:p w14:paraId="27F47AB8">
      <w:pPr>
        <w:rPr>
          <w:rFonts w:hint="eastAsia" w:ascii="宋体" w:hAnsi="宋体" w:cs="宋体"/>
          <w:b/>
          <w:bCs/>
          <w:sz w:val="24"/>
          <w:szCs w:val="24"/>
        </w:rPr>
      </w:pPr>
      <w:r>
        <w:rPr>
          <w:rFonts w:hint="eastAsia" w:ascii="宋体" w:hAnsi="宋体" w:cs="宋体"/>
          <w:b/>
          <w:bCs/>
          <w:sz w:val="24"/>
          <w:szCs w:val="24"/>
        </w:rPr>
        <w:t>考试大纲</w:t>
      </w:r>
    </w:p>
    <w:p w14:paraId="6914BFE1">
      <w:pPr>
        <w:widowControl/>
        <w:shd w:val="clear" w:color="auto" w:fill="FFFFFE"/>
        <w:spacing w:after="109"/>
        <w:jc w:val="center"/>
        <w:rPr>
          <w:rFonts w:hint="eastAsia" w:ascii="宋体" w:hAnsi="宋体" w:cs="宋体"/>
          <w:b/>
          <w:bCs/>
          <w:sz w:val="24"/>
          <w:szCs w:val="24"/>
        </w:rPr>
      </w:pPr>
      <w:r>
        <w:rPr>
          <w:rFonts w:hint="eastAsia" w:ascii="宋体" w:hAnsi="宋体" w:cs="宋体"/>
          <w:b/>
          <w:bCs/>
          <w:sz w:val="24"/>
          <w:szCs w:val="24"/>
        </w:rPr>
        <w:t>汉语基础考试大纲</w:t>
      </w:r>
    </w:p>
    <w:p w14:paraId="5C120F2D">
      <w:pPr>
        <w:widowControl/>
        <w:shd w:val="clear" w:color="auto" w:fill="FFFFFE"/>
        <w:spacing w:after="109"/>
        <w:rPr>
          <w:rFonts w:hint="eastAsia" w:ascii="宋体" w:hAnsi="宋体" w:cs="宋体"/>
          <w:b/>
          <w:bCs/>
          <w:sz w:val="24"/>
          <w:szCs w:val="24"/>
        </w:rPr>
      </w:pPr>
      <w:r>
        <w:rPr>
          <w:rFonts w:hint="eastAsia" w:ascii="宋体" w:hAnsi="宋体" w:cs="宋体"/>
          <w:b/>
          <w:bCs/>
          <w:sz w:val="24"/>
          <w:szCs w:val="24"/>
        </w:rPr>
        <w:t>汉语基础考试大纲概述：</w:t>
      </w:r>
    </w:p>
    <w:p w14:paraId="3BDD1587">
      <w:pPr>
        <w:pStyle w:val="8"/>
        <w:shd w:val="clear" w:color="auto" w:fill="FFFFFF"/>
        <w:ind w:firstLine="480" w:firstLineChars="200"/>
        <w:rPr>
          <w:rFonts w:hint="eastAsia"/>
          <w:color w:val="000000"/>
        </w:rPr>
      </w:pPr>
      <w:r>
        <w:rPr>
          <w:rFonts w:hint="eastAsia"/>
          <w:color w:val="000000"/>
        </w:rPr>
        <w:t>汉语基础的考试范围包括语言学基本理论、现代汉语和古代汉语三大板块，目的是测试考生的汉语语言学相关基础知识和汉语语言分析及运用能力。要求考试具有较全面的汉语语言学基础知识、较高的汉语应用能力和较强的汉语语言分析能力。</w:t>
      </w:r>
    </w:p>
    <w:p w14:paraId="2B8FB044">
      <w:pPr>
        <w:pStyle w:val="8"/>
        <w:shd w:val="clear" w:color="auto" w:fill="FFFFFF"/>
        <w:ind w:firstLine="480" w:firstLineChars="200"/>
        <w:rPr>
          <w:rFonts w:hint="eastAsia"/>
          <w:color w:val="000000"/>
        </w:rPr>
      </w:pPr>
    </w:p>
    <w:p w14:paraId="4269DA79">
      <w:pPr>
        <w:widowControl/>
        <w:shd w:val="clear" w:color="auto" w:fill="FFFFFE"/>
        <w:spacing w:after="109"/>
        <w:jc w:val="left"/>
        <w:rPr>
          <w:rFonts w:hint="eastAsia" w:ascii="宋体" w:hAnsi="宋体" w:cs="宋体"/>
          <w:b/>
          <w:bCs/>
          <w:sz w:val="24"/>
          <w:szCs w:val="24"/>
        </w:rPr>
      </w:pPr>
      <w:r>
        <w:rPr>
          <w:rFonts w:hint="eastAsia" w:ascii="宋体" w:hAnsi="宋体" w:cs="宋体"/>
          <w:b/>
          <w:bCs/>
          <w:sz w:val="24"/>
          <w:szCs w:val="24"/>
        </w:rPr>
        <w:t>考试内容：</w:t>
      </w:r>
    </w:p>
    <w:p w14:paraId="71EF2F84">
      <w:pPr>
        <w:widowControl/>
        <w:shd w:val="clear" w:color="auto" w:fill="FFFFFE"/>
        <w:spacing w:after="109"/>
        <w:ind w:firstLine="480" w:firstLineChars="20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一、语言学基本理论</w:t>
      </w:r>
    </w:p>
    <w:p w14:paraId="7FFED9CE">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（一）语言的功能</w:t>
      </w:r>
    </w:p>
    <w:p w14:paraId="6EF6A19A">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（二）语言是符号系统</w:t>
      </w:r>
    </w:p>
    <w:p w14:paraId="06A29533">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（三）语音和音系</w:t>
      </w:r>
    </w:p>
    <w:p w14:paraId="26426992">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（四）语法</w:t>
      </w:r>
    </w:p>
    <w:p w14:paraId="5CD8C7AD">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（五）语义和语用</w:t>
      </w:r>
    </w:p>
    <w:p w14:paraId="03711630">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（六）文字和书面语</w:t>
      </w:r>
    </w:p>
    <w:p w14:paraId="246CD6DA">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（七）语言演变与语言分化</w:t>
      </w:r>
    </w:p>
    <w:p w14:paraId="7E7B317F">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（八）语言的接触</w:t>
      </w:r>
    </w:p>
    <w:p w14:paraId="5726E034">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（九）语言系统的演变</w:t>
      </w:r>
    </w:p>
    <w:p w14:paraId="09740987">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cs="宋体" w:asciiTheme="minorEastAsia" w:hAnsiTheme="minorEastAsia" w:eastAsiaTheme="minorEastAsia"/>
          <w:color w:val="333333"/>
          <w:kern w:val="0"/>
          <w:sz w:val="24"/>
          <w:szCs w:val="24"/>
        </w:rPr>
        <w:t>二、现代汉语</w:t>
      </w:r>
    </w:p>
    <w:p w14:paraId="439E4354">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（一）现代汉语概说</w:t>
      </w:r>
    </w:p>
    <w:p w14:paraId="2989CBB4">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（二）现代汉语语音</w:t>
      </w:r>
    </w:p>
    <w:p w14:paraId="2658783B">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（三）现代汉语词汇</w:t>
      </w:r>
    </w:p>
    <w:p w14:paraId="2B093FFC">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（四）现代汉语语法</w:t>
      </w:r>
    </w:p>
    <w:p w14:paraId="1CE86424">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（五）现代汉字</w:t>
      </w:r>
    </w:p>
    <w:p w14:paraId="1A567865">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三、古代汉语</w:t>
      </w:r>
    </w:p>
    <w:p w14:paraId="025580D4">
      <w:pPr>
        <w:ind w:firstLine="480" w:firstLineChars="200"/>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（一）古文字</w:t>
      </w:r>
    </w:p>
    <w:p w14:paraId="253BF918">
      <w:pPr>
        <w:ind w:firstLine="480" w:firstLineChars="200"/>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（二）古代汉语词汇</w:t>
      </w:r>
    </w:p>
    <w:p w14:paraId="08CFCA6B">
      <w:pPr>
        <w:ind w:firstLine="480" w:firstLineChars="200"/>
        <w:rPr>
          <w:rFonts w:hint="eastAsia"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333333"/>
          <w:kern w:val="0"/>
          <w:sz w:val="24"/>
          <w:szCs w:val="24"/>
        </w:rPr>
        <w:t>（三）古代汉语语法</w:t>
      </w:r>
    </w:p>
    <w:p w14:paraId="269513EF">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p>
    <w:p w14:paraId="402A7FFB">
      <w:pPr>
        <w:widowControl/>
        <w:shd w:val="clear" w:color="auto" w:fill="FFFFFE"/>
        <w:spacing w:after="109"/>
        <w:ind w:firstLine="420"/>
        <w:jc w:val="left"/>
        <w:rPr>
          <w:rFonts w:hint="eastAsia" w:cs="宋体" w:asciiTheme="minorEastAsia" w:hAnsiTheme="minorEastAsia" w:eastAsiaTheme="minorEastAsia"/>
          <w:color w:val="333333"/>
          <w:kern w:val="0"/>
          <w:sz w:val="24"/>
          <w:szCs w:val="24"/>
        </w:rPr>
      </w:pPr>
    </w:p>
    <w:p w14:paraId="397C96F4">
      <w:pPr>
        <w:widowControl/>
        <w:shd w:val="clear" w:color="auto" w:fill="FFFFFE"/>
        <w:spacing w:after="109"/>
        <w:ind w:firstLine="560"/>
        <w:jc w:val="center"/>
        <w:rPr>
          <w:rFonts w:hint="eastAsia" w:ascii="微软雅黑" w:hAnsi="微软雅黑" w:eastAsia="微软雅黑" w:cs="宋体"/>
          <w:color w:val="333333"/>
          <w:kern w:val="0"/>
          <w:sz w:val="24"/>
          <w:szCs w:val="24"/>
        </w:rPr>
      </w:pPr>
      <w:r>
        <w:rPr>
          <w:rFonts w:hint="eastAsia" w:ascii="宋体" w:hAnsi="宋体" w:cs="宋体"/>
          <w:b/>
          <w:bCs/>
          <w:sz w:val="24"/>
          <w:szCs w:val="24"/>
        </w:rPr>
        <w:t>汉语国际教育基础考试大纲</w:t>
      </w:r>
    </w:p>
    <w:p w14:paraId="7BB7CF27">
      <w:pPr>
        <w:adjustRightInd w:val="0"/>
        <w:snapToGrid w:val="0"/>
        <w:ind w:right="-17"/>
        <w:outlineLvl w:val="0"/>
        <w:rPr>
          <w:rFonts w:hint="eastAsia" w:ascii="宋体" w:hAnsi="宋体"/>
          <w:b/>
          <w:bCs/>
          <w:sz w:val="24"/>
          <w:szCs w:val="28"/>
        </w:rPr>
      </w:pPr>
    </w:p>
    <w:p w14:paraId="5592F411">
      <w:pPr>
        <w:adjustRightInd w:val="0"/>
        <w:snapToGrid w:val="0"/>
        <w:ind w:right="-17"/>
        <w:outlineLvl w:val="0"/>
        <w:rPr>
          <w:rFonts w:hint="eastAsia" w:ascii="宋体" w:hAnsi="宋体"/>
          <w:b/>
          <w:bCs/>
          <w:sz w:val="24"/>
          <w:szCs w:val="28"/>
        </w:rPr>
      </w:pPr>
      <w:r>
        <w:rPr>
          <w:rFonts w:hint="eastAsia" w:ascii="宋体" w:hAnsi="宋体"/>
          <w:b/>
          <w:bCs/>
          <w:sz w:val="24"/>
          <w:szCs w:val="28"/>
        </w:rPr>
        <w:t>汉语国际教育基础考试大纲概述：</w:t>
      </w:r>
    </w:p>
    <w:p w14:paraId="01AA1568">
      <w:pPr>
        <w:adjustRightInd w:val="0"/>
        <w:snapToGrid w:val="0"/>
        <w:ind w:firstLine="480" w:firstLineChars="200"/>
        <w:rPr>
          <w:rFonts w:hint="eastAsia" w:ascii="宋体" w:hAnsi="宋体"/>
          <w:sz w:val="24"/>
        </w:rPr>
      </w:pPr>
      <w:r>
        <w:rPr>
          <w:rFonts w:hint="eastAsia" w:ascii="宋体" w:hAnsi="宋体"/>
          <w:sz w:val="24"/>
        </w:rPr>
        <w:t>汉语国际教育基础的考试内容为汉语国际教育的基础知识和基本理论，主要考查考生相关的对外汉语教学、中外文化、跨文化交际的基础知识、基本素养及书面语表达能力。</w:t>
      </w:r>
    </w:p>
    <w:p w14:paraId="7503F977">
      <w:pPr>
        <w:adjustRightInd w:val="0"/>
        <w:snapToGrid w:val="0"/>
        <w:ind w:firstLine="480" w:firstLineChars="200"/>
        <w:rPr>
          <w:rFonts w:hint="eastAsia" w:ascii="宋体" w:hAnsi="宋体"/>
          <w:sz w:val="24"/>
          <w:szCs w:val="28"/>
        </w:rPr>
      </w:pPr>
    </w:p>
    <w:p w14:paraId="34863D66">
      <w:pPr>
        <w:adjustRightInd w:val="0"/>
        <w:snapToGrid w:val="0"/>
        <w:ind w:right="556" w:rightChars="265"/>
        <w:outlineLvl w:val="0"/>
        <w:rPr>
          <w:rFonts w:hint="eastAsia" w:ascii="宋体" w:hAnsi="宋体"/>
          <w:b/>
          <w:sz w:val="24"/>
          <w:szCs w:val="28"/>
        </w:rPr>
      </w:pPr>
      <w:r>
        <w:rPr>
          <w:rFonts w:hint="eastAsia" w:ascii="宋体" w:hAnsi="宋体"/>
          <w:b/>
          <w:sz w:val="24"/>
          <w:szCs w:val="28"/>
        </w:rPr>
        <w:t>考试内容：</w:t>
      </w:r>
    </w:p>
    <w:p w14:paraId="1CEE381D">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一、对外汉语教学</w:t>
      </w:r>
    </w:p>
    <w:p w14:paraId="79EB8401">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（一）对外汉语教学总论</w:t>
      </w:r>
    </w:p>
    <w:p w14:paraId="5B34018A">
      <w:pPr>
        <w:adjustRightInd w:val="0"/>
        <w:snapToGrid w:val="0"/>
        <w:ind w:right="556" w:rightChars="265"/>
        <w:outlineLvl w:val="0"/>
        <w:rPr>
          <w:rFonts w:hint="eastAsia" w:ascii="宋体" w:hAnsi="宋体"/>
          <w:sz w:val="24"/>
          <w:szCs w:val="28"/>
        </w:rPr>
      </w:pPr>
      <w:r>
        <w:rPr>
          <w:rFonts w:hint="eastAsia" w:ascii="宋体" w:hAnsi="宋体"/>
          <w:sz w:val="24"/>
          <w:szCs w:val="28"/>
        </w:rPr>
        <w:t xml:space="preserve">    （二）外语教学法</w:t>
      </w:r>
    </w:p>
    <w:p w14:paraId="752BE99D">
      <w:pPr>
        <w:adjustRightInd w:val="0"/>
        <w:snapToGrid w:val="0"/>
        <w:ind w:left="480" w:right="556" w:rightChars="265"/>
        <w:outlineLvl w:val="0"/>
        <w:rPr>
          <w:rFonts w:hint="eastAsia" w:ascii="宋体" w:hAnsi="宋体"/>
          <w:sz w:val="24"/>
          <w:szCs w:val="28"/>
        </w:rPr>
      </w:pPr>
      <w:r>
        <w:rPr>
          <w:rFonts w:hint="eastAsia" w:ascii="宋体" w:hAnsi="宋体"/>
          <w:sz w:val="24"/>
          <w:szCs w:val="28"/>
        </w:rPr>
        <w:t>（三）课堂教学</w:t>
      </w:r>
    </w:p>
    <w:p w14:paraId="30AE2E1D">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（四）</w:t>
      </w:r>
      <w:r>
        <w:rPr>
          <w:rFonts w:ascii="宋体" w:hAnsi="宋体"/>
          <w:sz w:val="24"/>
          <w:szCs w:val="28"/>
        </w:rPr>
        <w:t>二语习得</w:t>
      </w:r>
    </w:p>
    <w:p w14:paraId="252BCE9A">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（五）</w:t>
      </w:r>
      <w:r>
        <w:rPr>
          <w:rFonts w:ascii="宋体" w:hAnsi="宋体"/>
          <w:sz w:val="24"/>
          <w:szCs w:val="28"/>
        </w:rPr>
        <w:t>语言测试与成绩分析</w:t>
      </w:r>
    </w:p>
    <w:p w14:paraId="1CA1A90A">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（六）</w:t>
      </w:r>
      <w:r>
        <w:rPr>
          <w:rFonts w:ascii="宋体" w:hAnsi="宋体"/>
          <w:sz w:val="24"/>
          <w:szCs w:val="28"/>
        </w:rPr>
        <w:t>教材的评估、使用与开发</w:t>
      </w:r>
    </w:p>
    <w:p w14:paraId="00DE95DD">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（七）</w:t>
      </w:r>
      <w:r>
        <w:rPr>
          <w:rFonts w:ascii="宋体" w:hAnsi="宋体"/>
          <w:sz w:val="24"/>
          <w:szCs w:val="28"/>
        </w:rPr>
        <w:t>人才培养与教师发展</w:t>
      </w:r>
    </w:p>
    <w:p w14:paraId="7627FFB8">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（八）</w:t>
      </w:r>
      <w:r>
        <w:rPr>
          <w:rFonts w:ascii="宋体" w:hAnsi="宋体"/>
          <w:sz w:val="24"/>
          <w:szCs w:val="28"/>
        </w:rPr>
        <w:t>汉语传播与教学简史</w:t>
      </w:r>
    </w:p>
    <w:p w14:paraId="778A3E23">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（九）</w:t>
      </w:r>
      <w:r>
        <w:rPr>
          <w:rFonts w:ascii="宋体" w:hAnsi="宋体"/>
          <w:sz w:val="24"/>
          <w:szCs w:val="28"/>
        </w:rPr>
        <w:t>语音教学</w:t>
      </w:r>
    </w:p>
    <w:p w14:paraId="0D7EB9AE">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w:t>
      </w:r>
      <w:r>
        <w:rPr>
          <w:rFonts w:ascii="宋体" w:hAnsi="宋体"/>
          <w:sz w:val="24"/>
          <w:szCs w:val="28"/>
        </w:rPr>
        <w:t>词汇教学</w:t>
      </w:r>
    </w:p>
    <w:p w14:paraId="51A61084">
      <w:pPr>
        <w:adjustRightInd w:val="0"/>
        <w:snapToGrid w:val="0"/>
        <w:ind w:right="556" w:rightChars="265" w:firstLine="480"/>
        <w:outlineLvl w:val="0"/>
        <w:rPr>
          <w:rFonts w:hint="eastAsia" w:ascii="宋体" w:hAnsi="宋体"/>
          <w:sz w:val="24"/>
          <w:szCs w:val="28"/>
        </w:rPr>
      </w:pPr>
      <w:r>
        <w:rPr>
          <w:rFonts w:hint="eastAsia" w:ascii="宋体" w:hAnsi="宋体"/>
          <w:sz w:val="24"/>
          <w:szCs w:val="28"/>
        </w:rPr>
        <w:t>（十一）</w:t>
      </w:r>
      <w:r>
        <w:rPr>
          <w:rFonts w:ascii="宋体" w:hAnsi="宋体"/>
          <w:sz w:val="24"/>
          <w:szCs w:val="28"/>
        </w:rPr>
        <w:t>语法教学</w:t>
      </w:r>
    </w:p>
    <w:p w14:paraId="6AD47CA8">
      <w:pPr>
        <w:adjustRightInd w:val="0"/>
        <w:snapToGrid w:val="0"/>
        <w:ind w:right="556" w:rightChars="265" w:firstLine="468"/>
        <w:outlineLvl w:val="0"/>
        <w:rPr>
          <w:rFonts w:hint="eastAsia" w:ascii="宋体" w:hAnsi="宋体"/>
          <w:sz w:val="24"/>
          <w:szCs w:val="28"/>
        </w:rPr>
      </w:pPr>
      <w:r>
        <w:rPr>
          <w:rFonts w:ascii="宋体" w:hAnsi="宋体"/>
          <w:sz w:val="24"/>
          <w:szCs w:val="28"/>
        </w:rPr>
        <w:t>（十二）汉字教学</w:t>
      </w:r>
    </w:p>
    <w:p w14:paraId="74BF17AA">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（十三）</w:t>
      </w:r>
      <w:r>
        <w:rPr>
          <w:rFonts w:ascii="宋体" w:hAnsi="宋体"/>
          <w:sz w:val="24"/>
          <w:szCs w:val="28"/>
        </w:rPr>
        <w:t>汉语综合课教学</w:t>
      </w:r>
    </w:p>
    <w:p w14:paraId="61FBBE7B">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（十四）</w:t>
      </w:r>
      <w:r>
        <w:rPr>
          <w:rFonts w:ascii="宋体" w:hAnsi="宋体"/>
          <w:sz w:val="24"/>
          <w:szCs w:val="28"/>
        </w:rPr>
        <w:t>听力技能课</w:t>
      </w:r>
    </w:p>
    <w:p w14:paraId="11C759EA">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（十五）</w:t>
      </w:r>
      <w:r>
        <w:rPr>
          <w:rFonts w:ascii="宋体" w:hAnsi="宋体"/>
          <w:sz w:val="24"/>
          <w:szCs w:val="28"/>
        </w:rPr>
        <w:t>口语课教学</w:t>
      </w:r>
    </w:p>
    <w:p w14:paraId="27D128B2">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（十六）</w:t>
      </w:r>
      <w:r>
        <w:rPr>
          <w:rFonts w:ascii="宋体" w:hAnsi="宋体"/>
          <w:sz w:val="24"/>
          <w:szCs w:val="28"/>
        </w:rPr>
        <w:t>阅读课教学</w:t>
      </w:r>
    </w:p>
    <w:p w14:paraId="1E130178">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（十七）</w:t>
      </w:r>
      <w:r>
        <w:rPr>
          <w:rFonts w:ascii="宋体" w:hAnsi="宋体"/>
          <w:sz w:val="24"/>
          <w:szCs w:val="28"/>
        </w:rPr>
        <w:t>写作课教学</w:t>
      </w:r>
    </w:p>
    <w:p w14:paraId="5A2C1309">
      <w:pPr>
        <w:adjustRightInd w:val="0"/>
        <w:snapToGrid w:val="0"/>
        <w:ind w:right="556" w:rightChars="265" w:firstLine="480"/>
        <w:outlineLvl w:val="0"/>
        <w:rPr>
          <w:rFonts w:hint="eastAsia" w:ascii="宋体" w:hAnsi="宋体"/>
          <w:sz w:val="24"/>
          <w:szCs w:val="28"/>
        </w:rPr>
      </w:pPr>
      <w:r>
        <w:rPr>
          <w:rFonts w:hint="eastAsia" w:ascii="宋体" w:hAnsi="宋体"/>
          <w:sz w:val="24"/>
          <w:szCs w:val="28"/>
        </w:rPr>
        <w:t>（十八）</w:t>
      </w:r>
      <w:r>
        <w:rPr>
          <w:rFonts w:ascii="宋体" w:hAnsi="宋体"/>
          <w:sz w:val="24"/>
          <w:szCs w:val="28"/>
        </w:rPr>
        <w:t>专用汉语</w:t>
      </w:r>
    </w:p>
    <w:p w14:paraId="67E3342E">
      <w:pPr>
        <w:adjustRightInd w:val="0"/>
        <w:snapToGrid w:val="0"/>
        <w:ind w:right="556" w:rightChars="265" w:firstLine="468"/>
        <w:outlineLvl w:val="0"/>
        <w:rPr>
          <w:rFonts w:hint="eastAsia" w:ascii="宋体" w:hAnsi="宋体"/>
          <w:sz w:val="24"/>
          <w:szCs w:val="28"/>
        </w:rPr>
      </w:pPr>
      <w:r>
        <w:rPr>
          <w:rFonts w:ascii="宋体" w:hAnsi="宋体"/>
          <w:sz w:val="24"/>
          <w:szCs w:val="28"/>
        </w:rPr>
        <w:t>二</w:t>
      </w:r>
      <w:r>
        <w:rPr>
          <w:rFonts w:hint="eastAsia" w:ascii="宋体" w:hAnsi="宋体"/>
          <w:sz w:val="24"/>
          <w:szCs w:val="28"/>
        </w:rPr>
        <w:t>、中国文化要略</w:t>
      </w:r>
    </w:p>
    <w:p w14:paraId="1255C8D7">
      <w:pPr>
        <w:adjustRightInd w:val="0"/>
        <w:snapToGrid w:val="0"/>
        <w:ind w:right="556" w:rightChars="265" w:firstLine="468"/>
        <w:outlineLvl w:val="0"/>
        <w:rPr>
          <w:rFonts w:hint="eastAsia" w:ascii="宋体" w:hAnsi="宋体"/>
          <w:sz w:val="24"/>
          <w:szCs w:val="28"/>
        </w:rPr>
      </w:pPr>
      <w:r>
        <w:rPr>
          <w:rFonts w:hint="eastAsia" w:ascii="宋体" w:hAnsi="宋体"/>
          <w:sz w:val="24"/>
          <w:szCs w:val="28"/>
        </w:rPr>
        <w:t>（一）中国文化概述</w:t>
      </w:r>
    </w:p>
    <w:p w14:paraId="0006AAD0">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（二）地理概况</w:t>
      </w:r>
    </w:p>
    <w:p w14:paraId="1AD3A4B6">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（三）历史纵横</w:t>
      </w:r>
    </w:p>
    <w:p w14:paraId="4462A7F8">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（四）姓氏与名、字、号</w:t>
      </w:r>
    </w:p>
    <w:p w14:paraId="17D2B202">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（五）学术思想</w:t>
      </w:r>
    </w:p>
    <w:p w14:paraId="0903B333">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（六）宗教信仰</w:t>
      </w:r>
    </w:p>
    <w:p w14:paraId="6DFE4F0A">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（七）古代教育</w:t>
      </w:r>
    </w:p>
    <w:p w14:paraId="502B3695">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（八）科举制度</w:t>
      </w:r>
    </w:p>
    <w:p w14:paraId="24D9C706">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（九）典籍藏书</w:t>
      </w:r>
    </w:p>
    <w:p w14:paraId="51B5034D">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（十）科技成就</w:t>
      </w:r>
    </w:p>
    <w:p w14:paraId="284C7DD0">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（十一）传统建筑</w:t>
      </w:r>
    </w:p>
    <w:p w14:paraId="19834A10">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（十二）古典文学</w:t>
      </w:r>
    </w:p>
    <w:p w14:paraId="5CBD15D0">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（十三）各类艺术</w:t>
      </w:r>
    </w:p>
    <w:p w14:paraId="5CFAA9C6">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（十四）精美器物</w:t>
      </w:r>
    </w:p>
    <w:p w14:paraId="174FE946">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（十五）风俗习惯</w:t>
      </w:r>
    </w:p>
    <w:p w14:paraId="6FB4DBD2">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（十六）中外文化交流</w:t>
      </w:r>
    </w:p>
    <w:p w14:paraId="08620CBD">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三、跨文化交际</w:t>
      </w:r>
    </w:p>
    <w:p w14:paraId="348F7578">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（一）跨文化交际与跨文化交际学</w:t>
      </w:r>
    </w:p>
    <w:p w14:paraId="7E9A4904">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（二）文化与交际</w:t>
      </w:r>
    </w:p>
    <w:p w14:paraId="7FF02924">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（三）跨文化交际的过程</w:t>
      </w:r>
    </w:p>
    <w:p w14:paraId="3B6752AC">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（四）跨文化交际的核心</w:t>
      </w:r>
    </w:p>
    <w:p w14:paraId="05DB6F6C">
      <w:pPr>
        <w:adjustRightInd w:val="0"/>
        <w:snapToGrid w:val="0"/>
        <w:ind w:right="556" w:rightChars="265" w:firstLine="480" w:firstLineChars="200"/>
        <w:outlineLvl w:val="0"/>
        <w:rPr>
          <w:rFonts w:hint="eastAsia" w:ascii="宋体" w:hAnsi="宋体"/>
          <w:sz w:val="24"/>
          <w:szCs w:val="28"/>
        </w:rPr>
      </w:pPr>
      <w:r>
        <w:rPr>
          <w:rFonts w:hint="eastAsia" w:ascii="宋体" w:hAnsi="宋体"/>
          <w:sz w:val="24"/>
          <w:szCs w:val="28"/>
        </w:rPr>
        <w:t>（五）提高跨文化意识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Yzc1MDUzMTRjODk3YzRjNjAyNDEzZmU0ZWNlZDQifQ=="/>
  </w:docVars>
  <w:rsids>
    <w:rsidRoot w:val="00C257DB"/>
    <w:rsid w:val="00004600"/>
    <w:rsid w:val="00011C92"/>
    <w:rsid w:val="000159A3"/>
    <w:rsid w:val="000306C0"/>
    <w:rsid w:val="00034DD6"/>
    <w:rsid w:val="00070C36"/>
    <w:rsid w:val="000B0AC1"/>
    <w:rsid w:val="000C7388"/>
    <w:rsid w:val="000C7C3E"/>
    <w:rsid w:val="000D4E0D"/>
    <w:rsid w:val="001040EE"/>
    <w:rsid w:val="00104BF6"/>
    <w:rsid w:val="00125194"/>
    <w:rsid w:val="00151E0C"/>
    <w:rsid w:val="00163064"/>
    <w:rsid w:val="0019222D"/>
    <w:rsid w:val="001A17F6"/>
    <w:rsid w:val="001E6FC7"/>
    <w:rsid w:val="00243B4D"/>
    <w:rsid w:val="002746E2"/>
    <w:rsid w:val="0029364B"/>
    <w:rsid w:val="002B4A89"/>
    <w:rsid w:val="00301AF0"/>
    <w:rsid w:val="00321AAD"/>
    <w:rsid w:val="003608AB"/>
    <w:rsid w:val="003A12FD"/>
    <w:rsid w:val="00424092"/>
    <w:rsid w:val="00424395"/>
    <w:rsid w:val="004623C9"/>
    <w:rsid w:val="0049745F"/>
    <w:rsid w:val="004B40E2"/>
    <w:rsid w:val="004C1077"/>
    <w:rsid w:val="004C44E9"/>
    <w:rsid w:val="004D6E97"/>
    <w:rsid w:val="004F260A"/>
    <w:rsid w:val="00533468"/>
    <w:rsid w:val="00537A89"/>
    <w:rsid w:val="005A5959"/>
    <w:rsid w:val="006925E5"/>
    <w:rsid w:val="006B7E62"/>
    <w:rsid w:val="006E3568"/>
    <w:rsid w:val="006F55C3"/>
    <w:rsid w:val="00742E1E"/>
    <w:rsid w:val="00772469"/>
    <w:rsid w:val="00792733"/>
    <w:rsid w:val="00797A2F"/>
    <w:rsid w:val="007B1B08"/>
    <w:rsid w:val="007B2DB9"/>
    <w:rsid w:val="007B5316"/>
    <w:rsid w:val="007B6021"/>
    <w:rsid w:val="00816B89"/>
    <w:rsid w:val="00826DC6"/>
    <w:rsid w:val="008342E9"/>
    <w:rsid w:val="008609B8"/>
    <w:rsid w:val="00874475"/>
    <w:rsid w:val="008B42F2"/>
    <w:rsid w:val="00912DB8"/>
    <w:rsid w:val="009A1946"/>
    <w:rsid w:val="009A4FCA"/>
    <w:rsid w:val="009F3808"/>
    <w:rsid w:val="00A211C2"/>
    <w:rsid w:val="00A32AE5"/>
    <w:rsid w:val="00A37057"/>
    <w:rsid w:val="00A568F2"/>
    <w:rsid w:val="00A653C6"/>
    <w:rsid w:val="00A845D7"/>
    <w:rsid w:val="00A922C0"/>
    <w:rsid w:val="00B53A19"/>
    <w:rsid w:val="00B53B63"/>
    <w:rsid w:val="00B5696D"/>
    <w:rsid w:val="00BC5E70"/>
    <w:rsid w:val="00BD4100"/>
    <w:rsid w:val="00BE2658"/>
    <w:rsid w:val="00C009B8"/>
    <w:rsid w:val="00C00FCC"/>
    <w:rsid w:val="00C257DB"/>
    <w:rsid w:val="00C37092"/>
    <w:rsid w:val="00C94451"/>
    <w:rsid w:val="00CB6067"/>
    <w:rsid w:val="00D1463B"/>
    <w:rsid w:val="00D16295"/>
    <w:rsid w:val="00D352E0"/>
    <w:rsid w:val="00D5701E"/>
    <w:rsid w:val="00D914FB"/>
    <w:rsid w:val="00DD4B86"/>
    <w:rsid w:val="00DE3DD8"/>
    <w:rsid w:val="00E4245D"/>
    <w:rsid w:val="00E539FA"/>
    <w:rsid w:val="00E76B17"/>
    <w:rsid w:val="00EF0414"/>
    <w:rsid w:val="00EF65D3"/>
    <w:rsid w:val="00F01C56"/>
    <w:rsid w:val="00F04D5B"/>
    <w:rsid w:val="00F35AB3"/>
    <w:rsid w:val="00F8065B"/>
    <w:rsid w:val="00F84B80"/>
    <w:rsid w:val="00F84EDA"/>
    <w:rsid w:val="00F851E5"/>
    <w:rsid w:val="00FA3B02"/>
    <w:rsid w:val="00FB7293"/>
    <w:rsid w:val="00FB7799"/>
    <w:rsid w:val="00FE2D66"/>
    <w:rsid w:val="00FE410D"/>
    <w:rsid w:val="026211BB"/>
    <w:rsid w:val="02D51A5B"/>
    <w:rsid w:val="03563A12"/>
    <w:rsid w:val="03704FE8"/>
    <w:rsid w:val="052E656D"/>
    <w:rsid w:val="082823A6"/>
    <w:rsid w:val="0A5B2D65"/>
    <w:rsid w:val="0C3E2122"/>
    <w:rsid w:val="0C5B5F02"/>
    <w:rsid w:val="0CDC1F4B"/>
    <w:rsid w:val="0E280F0E"/>
    <w:rsid w:val="104B2D57"/>
    <w:rsid w:val="13CB3CC7"/>
    <w:rsid w:val="15757426"/>
    <w:rsid w:val="16B337BE"/>
    <w:rsid w:val="18427DFE"/>
    <w:rsid w:val="20EE3D32"/>
    <w:rsid w:val="218106BD"/>
    <w:rsid w:val="22834C7A"/>
    <w:rsid w:val="23FA37C8"/>
    <w:rsid w:val="264659B5"/>
    <w:rsid w:val="27040FE7"/>
    <w:rsid w:val="288544DA"/>
    <w:rsid w:val="2AA13E52"/>
    <w:rsid w:val="2C771ABF"/>
    <w:rsid w:val="2D7D5F78"/>
    <w:rsid w:val="2D852BF4"/>
    <w:rsid w:val="2F0700AA"/>
    <w:rsid w:val="31D37F4D"/>
    <w:rsid w:val="36411107"/>
    <w:rsid w:val="36E93D49"/>
    <w:rsid w:val="3717609F"/>
    <w:rsid w:val="382B3BA7"/>
    <w:rsid w:val="3BC14AAD"/>
    <w:rsid w:val="3BD0642A"/>
    <w:rsid w:val="3CD70CBD"/>
    <w:rsid w:val="445B7136"/>
    <w:rsid w:val="451A16F5"/>
    <w:rsid w:val="457B7B24"/>
    <w:rsid w:val="4768284C"/>
    <w:rsid w:val="47702041"/>
    <w:rsid w:val="477D02FA"/>
    <w:rsid w:val="48754512"/>
    <w:rsid w:val="4C1A0D28"/>
    <w:rsid w:val="4E0631B0"/>
    <w:rsid w:val="4F746969"/>
    <w:rsid w:val="4F931359"/>
    <w:rsid w:val="5302663C"/>
    <w:rsid w:val="535D1CAD"/>
    <w:rsid w:val="5738394C"/>
    <w:rsid w:val="59F760A3"/>
    <w:rsid w:val="5D783454"/>
    <w:rsid w:val="5E8C6431"/>
    <w:rsid w:val="604C539B"/>
    <w:rsid w:val="60690B84"/>
    <w:rsid w:val="613F0A5C"/>
    <w:rsid w:val="62F45876"/>
    <w:rsid w:val="69A63A35"/>
    <w:rsid w:val="6AD97C23"/>
    <w:rsid w:val="6B7E6624"/>
    <w:rsid w:val="6BE672E8"/>
    <w:rsid w:val="6C0C4A69"/>
    <w:rsid w:val="6CDF3799"/>
    <w:rsid w:val="6D5317A4"/>
    <w:rsid w:val="6DB62ED0"/>
    <w:rsid w:val="73BF77DA"/>
    <w:rsid w:val="742A6E88"/>
    <w:rsid w:val="77BD6F2A"/>
    <w:rsid w:val="77C65071"/>
    <w:rsid w:val="78B57EBB"/>
    <w:rsid w:val="7DB84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iPriority w:val="0"/>
    <w:pPr>
      <w:jc w:val="left"/>
    </w:pPr>
  </w:style>
  <w:style w:type="paragraph" w:styleId="5">
    <w:name w:val="Balloon Text"/>
    <w:basedOn w:val="1"/>
    <w:link w:val="23"/>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semiHidden/>
    <w:qFormat/>
    <w:uiPriority w:val="0"/>
    <w:pPr>
      <w:widowControl/>
      <w:spacing w:before="100" w:beforeAutospacing="1" w:after="100" w:afterAutospacing="1"/>
      <w:jc w:val="left"/>
    </w:pPr>
    <w:rPr>
      <w:rFonts w:hint="eastAsia" w:ascii="宋体" w:hAnsi="宋体"/>
      <w:kern w:val="0"/>
      <w:sz w:val="24"/>
      <w:szCs w:val="24"/>
    </w:rPr>
  </w:style>
  <w:style w:type="paragraph" w:styleId="10">
    <w:name w:val="annotation subject"/>
    <w:basedOn w:val="4"/>
    <w:next w:val="4"/>
    <w:link w:val="22"/>
    <w:uiPriority w:val="0"/>
    <w:rPr>
      <w:b/>
      <w:bCs/>
    </w:rPr>
  </w:style>
  <w:style w:type="character" w:styleId="13">
    <w:name w:val="Strong"/>
    <w:basedOn w:val="12"/>
    <w:qFormat/>
    <w:uiPriority w:val="22"/>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annotation reference"/>
    <w:basedOn w:val="12"/>
    <w:uiPriority w:val="0"/>
    <w:rPr>
      <w:sz w:val="21"/>
      <w:szCs w:val="21"/>
    </w:rPr>
  </w:style>
  <w:style w:type="paragraph" w:customStyle="1" w:styleId="17">
    <w:name w:val="教学大纲标题"/>
    <w:basedOn w:val="1"/>
    <w:qFormat/>
    <w:uiPriority w:val="0"/>
    <w:pPr>
      <w:jc w:val="center"/>
    </w:pPr>
    <w:rPr>
      <w:rFonts w:eastAsia="黑体"/>
      <w:b/>
      <w:sz w:val="36"/>
    </w:rPr>
  </w:style>
  <w:style w:type="paragraph" w:styleId="18">
    <w:name w:val="List Paragraph"/>
    <w:basedOn w:val="1"/>
    <w:qFormat/>
    <w:uiPriority w:val="99"/>
    <w:pPr>
      <w:ind w:firstLine="420" w:firstLineChars="200"/>
    </w:pPr>
  </w:style>
  <w:style w:type="character" w:customStyle="1" w:styleId="19">
    <w:name w:val="页眉 字符"/>
    <w:basedOn w:val="12"/>
    <w:link w:val="7"/>
    <w:qFormat/>
    <w:uiPriority w:val="0"/>
    <w:rPr>
      <w:rFonts w:ascii="Calibri" w:hAnsi="Calibri"/>
      <w:kern w:val="2"/>
      <w:sz w:val="18"/>
      <w:szCs w:val="18"/>
    </w:rPr>
  </w:style>
  <w:style w:type="character" w:customStyle="1" w:styleId="20">
    <w:name w:val="页脚 字符"/>
    <w:basedOn w:val="12"/>
    <w:link w:val="6"/>
    <w:qFormat/>
    <w:uiPriority w:val="0"/>
    <w:rPr>
      <w:rFonts w:ascii="Calibri" w:hAnsi="Calibri"/>
      <w:kern w:val="2"/>
      <w:sz w:val="18"/>
      <w:szCs w:val="18"/>
    </w:rPr>
  </w:style>
  <w:style w:type="character" w:customStyle="1" w:styleId="21">
    <w:name w:val="批注文字 字符"/>
    <w:basedOn w:val="12"/>
    <w:link w:val="4"/>
    <w:uiPriority w:val="0"/>
    <w:rPr>
      <w:rFonts w:ascii="Calibri" w:hAnsi="Calibri"/>
      <w:kern w:val="2"/>
      <w:sz w:val="21"/>
      <w:szCs w:val="22"/>
    </w:rPr>
  </w:style>
  <w:style w:type="character" w:customStyle="1" w:styleId="22">
    <w:name w:val="批注主题 字符"/>
    <w:basedOn w:val="21"/>
    <w:link w:val="10"/>
    <w:uiPriority w:val="0"/>
    <w:rPr>
      <w:rFonts w:ascii="Calibri" w:hAnsi="Calibri"/>
      <w:b/>
      <w:bCs/>
      <w:kern w:val="2"/>
      <w:sz w:val="21"/>
      <w:szCs w:val="22"/>
    </w:rPr>
  </w:style>
  <w:style w:type="character" w:customStyle="1" w:styleId="23">
    <w:name w:val="批注框文本 字符"/>
    <w:basedOn w:val="12"/>
    <w:link w:val="5"/>
    <w:uiPriority w:val="0"/>
    <w:rPr>
      <w:rFonts w:ascii="Calibri" w:hAnsi="Calibri"/>
      <w:kern w:val="2"/>
      <w:sz w:val="18"/>
      <w:szCs w:val="18"/>
    </w:rPr>
  </w:style>
  <w:style w:type="character" w:customStyle="1" w:styleId="24">
    <w:name w:val="HTML 预设格式 字符"/>
    <w:basedOn w:val="12"/>
    <w:link w:val="8"/>
    <w:uiPriority w:val="99"/>
    <w:rPr>
      <w:rFonts w:ascii="宋体" w:hAnsi="宋体" w:cs="宋体"/>
      <w:sz w:val="24"/>
      <w:szCs w:val="24"/>
    </w:rPr>
  </w:style>
  <w:style w:type="character" w:customStyle="1" w:styleId="25">
    <w:name w:val="apple-converted-space"/>
    <w:basedOn w:val="12"/>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1993</Words>
  <Characters>2076</Characters>
  <Lines>15</Lines>
  <Paragraphs>4</Paragraphs>
  <TotalTime>8</TotalTime>
  <ScaleCrop>false</ScaleCrop>
  <LinksUpToDate>false</LinksUpToDate>
  <CharactersWithSpaces>2089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2024-09-29T06:52:00Z</dcterms:created>
  <dc:creator>15177</dc:creator>
  <cp:lastModifiedBy>旅途</cp:lastModifiedBy>
  <cp:lastPrinted>2022-06-30T07:59:00Z</cp:lastPrinted>
  <dcterms:modified xsi:type="dcterms:W3CDTF">2024-09-30T07:46:01Z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9AB487B83F12475C8A0C8F09F56DCDFD_13</vt:lpwstr>
  </property>
</Properties>
</file>