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F0784">
      <w:pPr>
        <w:snapToGrid w:val="0"/>
        <w:jc w:val="center"/>
        <w:rPr>
          <w:rFonts w:hint="eastAsia" w:ascii="黑体" w:hAnsi="黑体" w:eastAsia="黑体"/>
          <w:color w:val="auto"/>
          <w:sz w:val="36"/>
        </w:rPr>
      </w:pPr>
      <w:r>
        <w:rPr>
          <w:rFonts w:hint="eastAsia" w:ascii="黑体" w:hAnsi="黑体" w:eastAsia="黑体"/>
          <w:color w:val="auto"/>
          <w:sz w:val="36"/>
        </w:rPr>
        <w:t>物流</w:t>
      </w:r>
      <w:r>
        <w:rPr>
          <w:rFonts w:ascii="黑体" w:hAnsi="黑体" w:eastAsia="黑体"/>
          <w:color w:val="auto"/>
          <w:sz w:val="36"/>
        </w:rPr>
        <w:t>工</w:t>
      </w:r>
      <w:r>
        <w:rPr>
          <w:rFonts w:hint="eastAsia" w:ascii="黑体" w:hAnsi="黑体" w:eastAsia="黑体"/>
          <w:color w:val="auto"/>
          <w:sz w:val="36"/>
        </w:rPr>
        <w:t>程与</w:t>
      </w:r>
      <w:r>
        <w:rPr>
          <w:rFonts w:ascii="黑体" w:hAnsi="黑体" w:eastAsia="黑体"/>
          <w:color w:val="auto"/>
          <w:sz w:val="36"/>
        </w:rPr>
        <w:t>管理硕士125</w:t>
      </w:r>
      <w:r>
        <w:rPr>
          <w:rFonts w:hint="eastAsia" w:ascii="黑体" w:hAnsi="黑体" w:eastAsia="黑体"/>
          <w:color w:val="auto"/>
          <w:sz w:val="36"/>
        </w:rPr>
        <w:t>6</w:t>
      </w:r>
      <w:r>
        <w:rPr>
          <w:rFonts w:ascii="黑体" w:hAnsi="黑体" w:eastAsia="黑体"/>
          <w:color w:val="auto"/>
          <w:sz w:val="36"/>
        </w:rPr>
        <w:t>0</w:t>
      </w:r>
      <w:r>
        <w:rPr>
          <w:rFonts w:hint="eastAsia" w:ascii="黑体" w:hAnsi="黑体" w:eastAsia="黑体"/>
          <w:color w:val="auto"/>
          <w:sz w:val="36"/>
        </w:rPr>
        <w:t>4</w:t>
      </w:r>
    </w:p>
    <w:p w14:paraId="41501BB5">
      <w:pPr>
        <w:snapToGrid w:val="0"/>
        <w:jc w:val="center"/>
        <w:rPr>
          <w:rFonts w:hint="eastAsia" w:ascii="黑体" w:hAnsi="黑体" w:eastAsia="黑体"/>
          <w:color w:val="auto"/>
          <w:sz w:val="36"/>
        </w:rPr>
      </w:pPr>
    </w:p>
    <w:p w14:paraId="60B4D6FB">
      <w:pPr>
        <w:snapToGrid w:val="0"/>
        <w:jc w:val="center"/>
        <w:rPr>
          <w:rFonts w:hint="eastAsia" w:ascii="黑体" w:hAnsi="黑体" w:eastAsia="黑体"/>
          <w:color w:val="auto"/>
          <w:sz w:val="36"/>
        </w:rPr>
      </w:pPr>
    </w:p>
    <w:p w14:paraId="3943D6E8">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学科点简介</w:t>
      </w:r>
      <w:r>
        <w:rPr>
          <w:rFonts w:hint="eastAsia" w:ascii="宋体" w:hAnsi="宋体" w:eastAsia="宋体" w:cs="宋体"/>
          <w:b/>
          <w:color w:val="auto"/>
          <w:sz w:val="24"/>
          <w:szCs w:val="24"/>
          <w:lang w:eastAsia="zh-CN"/>
        </w:rPr>
        <w:t>：</w:t>
      </w:r>
      <w:r>
        <w:rPr>
          <w:rFonts w:hint="eastAsia" w:ascii="宋体" w:hAnsi="宋体" w:eastAsia="宋体" w:cs="宋体"/>
          <w:color w:val="auto"/>
          <w:sz w:val="24"/>
          <w:szCs w:val="24"/>
        </w:rPr>
        <w:t>本硕士点隶属于广东财经大学工商管理学院/粤商学院/创新创业学院，所在的工商管理</w:t>
      </w:r>
      <w:r>
        <w:rPr>
          <w:rFonts w:hint="eastAsia" w:ascii="宋体" w:hAnsi="宋体" w:eastAsia="宋体" w:cs="宋体"/>
          <w:color w:val="auto"/>
          <w:sz w:val="24"/>
          <w:szCs w:val="24"/>
          <w:lang w:val="en-US" w:eastAsia="zh-CN"/>
        </w:rPr>
        <w:t>学</w:t>
      </w:r>
      <w:r>
        <w:rPr>
          <w:rFonts w:hint="eastAsia" w:ascii="宋体" w:hAnsi="宋体" w:eastAsia="宋体" w:cs="宋体"/>
          <w:color w:val="auto"/>
          <w:sz w:val="24"/>
          <w:szCs w:val="24"/>
        </w:rPr>
        <w:t>一级学科是广东省优势重点学科。工商管理学院/粤商学院/创新创业学院是广东财经大学实施物流工程与管理硕士教育项目的办学实体，拥有国家级实验教学示范中心、国家级人才培养模式创新实验区等教学教辅设施和创业实践基地。</w:t>
      </w:r>
      <w:r>
        <w:rPr>
          <w:rFonts w:hint="eastAsia" w:ascii="宋体" w:hAnsi="宋体" w:eastAsia="宋体" w:cs="宋体"/>
          <w:color w:val="auto"/>
          <w:sz w:val="24"/>
          <w:szCs w:val="24"/>
          <w:shd w:val="clear" w:color="auto" w:fill="FFFFFF"/>
        </w:rPr>
        <w:t>学院师资力量雄厚，现有教职工95人，其中专任教师76人，专任教师中教授14人，副教授25人，64人获得博士学位，占84.2%。教师队伍中，多人入选教育部新世纪优秀人才支持计划、广东省高等学校教学名师、</w:t>
      </w:r>
      <w:r>
        <w:rPr>
          <w:rFonts w:hint="eastAsia" w:ascii="宋体" w:hAnsi="宋体" w:eastAsia="宋体" w:cs="宋体"/>
          <w:color w:val="auto"/>
          <w:sz w:val="24"/>
          <w:szCs w:val="24"/>
          <w:shd w:val="clear" w:color="auto" w:fill="FFFFFF"/>
          <w:lang w:val="en-US" w:eastAsia="zh-CN"/>
        </w:rPr>
        <w:t>珠江学者、</w:t>
      </w:r>
      <w:r>
        <w:rPr>
          <w:rFonts w:hint="eastAsia" w:ascii="宋体" w:hAnsi="宋体" w:eastAsia="宋体" w:cs="宋体"/>
          <w:color w:val="auto"/>
          <w:sz w:val="24"/>
          <w:szCs w:val="24"/>
          <w:shd w:val="clear" w:color="auto" w:fill="FFFFFF"/>
        </w:rPr>
        <w:t>校级“卓越教学名师”、南岭学者杰出人才、南岭学者青年拔尖人才。学院拥有广东省级教学团队和广东省高等学校科研创新团队。近年来，学院承担国家级科研项目15项，省部级科研项目</w:t>
      </w:r>
      <w:r>
        <w:rPr>
          <w:rFonts w:hint="eastAsia" w:ascii="宋体" w:hAnsi="宋体" w:eastAsia="宋体" w:cs="宋体"/>
          <w:color w:val="auto"/>
          <w:sz w:val="24"/>
          <w:szCs w:val="24"/>
          <w:shd w:val="clear" w:color="auto" w:fill="FFFFFF"/>
          <w:lang w:val="en-US" w:eastAsia="zh-CN"/>
        </w:rPr>
        <w:t>近40</w:t>
      </w:r>
      <w:r>
        <w:rPr>
          <w:rFonts w:hint="eastAsia" w:ascii="宋体" w:hAnsi="宋体" w:eastAsia="宋体" w:cs="宋体"/>
          <w:color w:val="auto"/>
          <w:sz w:val="24"/>
          <w:szCs w:val="24"/>
          <w:shd w:val="clear" w:color="auto" w:fill="FFFFFF"/>
        </w:rPr>
        <w:t>项，在国际商科顶级期刊UTD24、FT50期刊及国内权威期刊《经济研究》《管理世界》等发表论文200多篇，出版著作16部，2部教材入选国家高等教育本科十二五规划教材，获广东省哲学社会科学优秀成果奖二等奖。</w:t>
      </w:r>
    </w:p>
    <w:p w14:paraId="7A984830">
      <w:pPr>
        <w:snapToGrid w:val="0"/>
        <w:jc w:val="left"/>
        <w:rPr>
          <w:rFonts w:hint="eastAsia" w:ascii="宋体" w:hAnsi="宋体" w:eastAsia="宋体" w:cs="宋体"/>
          <w:color w:val="auto"/>
          <w:sz w:val="24"/>
          <w:szCs w:val="24"/>
        </w:rPr>
      </w:pPr>
    </w:p>
    <w:p w14:paraId="3F164556">
      <w:pPr>
        <w:spacing w:line="36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培养目标</w:t>
      </w:r>
      <w:r>
        <w:rPr>
          <w:rFonts w:hint="eastAsia" w:ascii="宋体" w:hAnsi="宋体" w:eastAsia="宋体" w:cs="宋体"/>
          <w:b/>
          <w:color w:val="auto"/>
          <w:sz w:val="24"/>
          <w:szCs w:val="24"/>
          <w:lang w:eastAsia="zh-CN"/>
        </w:rPr>
        <w:t>：</w:t>
      </w:r>
      <w:r>
        <w:rPr>
          <w:rFonts w:hint="eastAsia" w:ascii="宋体" w:hAnsi="宋体" w:eastAsia="宋体" w:cs="宋体"/>
          <w:b w:val="0"/>
          <w:bCs/>
          <w:color w:val="auto"/>
          <w:sz w:val="24"/>
          <w:szCs w:val="24"/>
          <w:lang w:eastAsia="zh-CN"/>
        </w:rPr>
        <w:t>培养掌握马克思主义基本原理、中国特色社会主义理论体系及习近平新时代中国特色社会主义思想，具备良好的政治素质和职业道德，掌握系统完备的现代工程管理理论与方法和物流与供应链工程领域的专业技术和知识，能独立担负各类物流系统规划设计、模式创新、系统优化、运营管理、评价等工作，聚焦粤港澳大湾区</w:t>
      </w:r>
      <w:r>
        <w:rPr>
          <w:rFonts w:hint="eastAsia" w:ascii="宋体" w:hAnsi="宋体" w:eastAsia="宋体" w:cs="宋体"/>
          <w:b w:val="0"/>
          <w:bCs/>
          <w:color w:val="auto"/>
          <w:sz w:val="24"/>
          <w:szCs w:val="24"/>
          <w:lang w:val="en-US" w:eastAsia="zh-CN"/>
        </w:rPr>
        <w:t>发展要求</w:t>
      </w:r>
      <w:r>
        <w:rPr>
          <w:rFonts w:hint="eastAsia" w:ascii="宋体" w:hAnsi="宋体" w:eastAsia="宋体" w:cs="宋体"/>
          <w:b w:val="0"/>
          <w:bCs/>
          <w:color w:val="auto"/>
          <w:sz w:val="24"/>
          <w:szCs w:val="24"/>
          <w:lang w:eastAsia="zh-CN"/>
        </w:rPr>
        <w:t>，兼具国际视野与本土实践能力的复合型高层次物流与供应链工程管理人才。</w:t>
      </w:r>
    </w:p>
    <w:p w14:paraId="546EBD4C">
      <w:pPr>
        <w:snapToGrid w:val="0"/>
        <w:jc w:val="left"/>
        <w:rPr>
          <w:rFonts w:hint="eastAsia" w:ascii="宋体" w:hAnsi="宋体" w:eastAsia="宋体" w:cs="宋体"/>
          <w:b/>
          <w:color w:val="auto"/>
          <w:sz w:val="24"/>
          <w:szCs w:val="24"/>
        </w:rPr>
      </w:pPr>
    </w:p>
    <w:p w14:paraId="3760EA45">
      <w:pPr>
        <w:autoSpaceDE w:val="0"/>
        <w:autoSpaceDN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主要课程</w:t>
      </w:r>
      <w:r>
        <w:rPr>
          <w:rFonts w:hint="eastAsia" w:ascii="宋体" w:hAnsi="宋体" w:eastAsia="宋体" w:cs="宋体"/>
          <w:b/>
          <w:color w:val="auto"/>
          <w:sz w:val="24"/>
          <w:szCs w:val="24"/>
          <w:lang w:eastAsia="zh-CN"/>
        </w:rPr>
        <w:t>：</w:t>
      </w:r>
      <w:r>
        <w:rPr>
          <w:rFonts w:hint="eastAsia" w:ascii="宋体" w:hAnsi="宋体" w:eastAsia="宋体" w:cs="宋体"/>
          <w:color w:val="auto"/>
          <w:sz w:val="24"/>
          <w:szCs w:val="24"/>
        </w:rPr>
        <w:t>工程管理导论、工程经济学、系统工程、数据模型与决策、工程伦理、运营管理、数据科学与大数据导论、工程系统建模与仿真、高等物流学、智慧供应链管理、</w:t>
      </w:r>
      <w:r>
        <w:rPr>
          <w:rFonts w:ascii="宋体" w:hAnsi="宋体" w:eastAsia="宋体" w:cs="宋体"/>
          <w:color w:val="auto"/>
          <w:sz w:val="24"/>
          <w:szCs w:val="24"/>
        </w:rPr>
        <w:t>物流系统规划与优化</w:t>
      </w:r>
      <w:r>
        <w:rPr>
          <w:rFonts w:hint="eastAsia" w:ascii="宋体" w:hAnsi="宋体" w:eastAsia="宋体" w:cs="宋体"/>
          <w:color w:val="auto"/>
          <w:sz w:val="24"/>
          <w:szCs w:val="24"/>
        </w:rPr>
        <w:t>、高等运筹学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国际物流管理</w:t>
      </w:r>
      <w:r>
        <w:rPr>
          <w:rFonts w:hint="eastAsia" w:ascii="宋体" w:hAnsi="宋体" w:eastAsia="宋体" w:cs="宋体"/>
          <w:color w:val="auto"/>
          <w:sz w:val="24"/>
          <w:szCs w:val="24"/>
        </w:rPr>
        <w:t>。</w:t>
      </w:r>
    </w:p>
    <w:p w14:paraId="19C882C6">
      <w:pPr>
        <w:autoSpaceDE w:val="0"/>
        <w:autoSpaceDN w:val="0"/>
        <w:rPr>
          <w:rFonts w:hint="eastAsia" w:ascii="宋体" w:hAnsi="宋体" w:eastAsia="宋体" w:cs="宋体"/>
          <w:color w:val="auto"/>
          <w:sz w:val="24"/>
          <w:szCs w:val="24"/>
        </w:rPr>
      </w:pPr>
    </w:p>
    <w:p w14:paraId="7C5015C9">
      <w:pPr>
        <w:autoSpaceDE w:val="0"/>
        <w:autoSpaceDN w:val="0"/>
        <w:rPr>
          <w:rFonts w:hint="eastAsia" w:ascii="宋体" w:hAnsi="宋体" w:eastAsia="宋体" w:cs="宋体"/>
          <w:color w:val="auto"/>
          <w:sz w:val="24"/>
          <w:szCs w:val="24"/>
        </w:rPr>
      </w:pPr>
    </w:p>
    <w:p w14:paraId="05CB1B13">
      <w:pPr>
        <w:autoSpaceDE w:val="0"/>
        <w:autoSpaceDN w:val="0"/>
        <w:rPr>
          <w:rFonts w:hint="eastAsia" w:ascii="宋体" w:hAnsi="宋体" w:eastAsia="宋体" w:cs="宋体"/>
          <w:color w:val="auto"/>
          <w:sz w:val="24"/>
          <w:szCs w:val="24"/>
        </w:rPr>
      </w:pPr>
    </w:p>
    <w:p w14:paraId="5509798A">
      <w:pPr>
        <w:autoSpaceDE w:val="0"/>
        <w:autoSpaceDN w:val="0"/>
        <w:rPr>
          <w:rFonts w:hint="eastAsia" w:ascii="宋体" w:hAnsi="宋体" w:eastAsia="宋体" w:cs="宋体"/>
          <w:color w:val="auto"/>
          <w:sz w:val="24"/>
          <w:szCs w:val="24"/>
        </w:rPr>
      </w:pPr>
    </w:p>
    <w:p w14:paraId="222F8379">
      <w:pPr>
        <w:autoSpaceDE w:val="0"/>
        <w:autoSpaceDN w:val="0"/>
        <w:rPr>
          <w:rFonts w:hint="eastAsia" w:ascii="宋体" w:hAnsi="宋体" w:eastAsia="宋体" w:cs="宋体"/>
          <w:color w:val="auto"/>
          <w:sz w:val="24"/>
          <w:szCs w:val="24"/>
        </w:rPr>
      </w:pPr>
    </w:p>
    <w:p w14:paraId="2311015A">
      <w:pPr>
        <w:snapToGrid w:val="0"/>
        <w:rPr>
          <w:rFonts w:hint="eastAsia" w:ascii="宋体" w:hAnsi="宋体" w:eastAsia="宋体" w:cs="宋体"/>
          <w:color w:val="auto"/>
          <w:sz w:val="24"/>
          <w:szCs w:val="24"/>
        </w:rPr>
      </w:pPr>
      <w:r>
        <w:rPr>
          <w:rFonts w:hint="eastAsia" w:ascii="宋体" w:hAnsi="宋体" w:eastAsia="宋体" w:cs="宋体"/>
          <w:b/>
          <w:color w:val="auto"/>
          <w:sz w:val="24"/>
          <w:szCs w:val="24"/>
        </w:rPr>
        <w:t>专业代码：</w:t>
      </w:r>
      <w:r>
        <w:rPr>
          <w:rFonts w:hint="eastAsia" w:ascii="宋体" w:hAnsi="宋体" w:eastAsia="宋体" w:cs="宋体"/>
          <w:color w:val="auto"/>
          <w:sz w:val="24"/>
          <w:szCs w:val="24"/>
        </w:rPr>
        <w:t xml:space="preserve">125604        </w:t>
      </w:r>
      <w:r>
        <w:rPr>
          <w:rFonts w:hint="eastAsia" w:ascii="宋体" w:hAnsi="宋体" w:eastAsia="宋体" w:cs="宋体"/>
          <w:b/>
          <w:color w:val="auto"/>
          <w:sz w:val="24"/>
          <w:szCs w:val="24"/>
        </w:rPr>
        <w:t xml:space="preserve"> 咨询电话：</w:t>
      </w:r>
      <w:r>
        <w:rPr>
          <w:rFonts w:hint="eastAsia" w:ascii="宋体" w:hAnsi="宋体" w:eastAsia="宋体" w:cs="宋体"/>
          <w:color w:val="auto"/>
          <w:sz w:val="24"/>
          <w:szCs w:val="24"/>
        </w:rPr>
        <w:t>020-84096877</w:t>
      </w:r>
    </w:p>
    <w:p w14:paraId="12242BA3">
      <w:pPr>
        <w:snapToGrid w:val="0"/>
        <w:rPr>
          <w:rFonts w:hint="eastAsia" w:ascii="宋体" w:hAnsi="宋体" w:eastAsia="宋体" w:cs="宋体"/>
          <w:color w:val="auto"/>
          <w:sz w:val="24"/>
          <w:szCs w:val="24"/>
        </w:rPr>
      </w:pPr>
    </w:p>
    <w:tbl>
      <w:tblPr>
        <w:tblStyle w:val="23"/>
        <w:tblW w:w="0" w:type="auto"/>
        <w:tblInd w:w="108" w:type="dxa"/>
        <w:tblLayout w:type="fixed"/>
        <w:tblCellMar>
          <w:top w:w="0" w:type="dxa"/>
          <w:left w:w="108" w:type="dxa"/>
          <w:bottom w:w="0" w:type="dxa"/>
          <w:right w:w="108" w:type="dxa"/>
        </w:tblCellMar>
      </w:tblPr>
      <w:tblGrid>
        <w:gridCol w:w="696"/>
        <w:gridCol w:w="2305"/>
        <w:gridCol w:w="3005"/>
        <w:gridCol w:w="2319"/>
      </w:tblGrid>
      <w:tr w14:paraId="69B3D864">
        <w:tblPrEx>
          <w:tblCellMar>
            <w:top w:w="0" w:type="dxa"/>
            <w:left w:w="108" w:type="dxa"/>
            <w:bottom w:w="0" w:type="dxa"/>
            <w:right w:w="108" w:type="dxa"/>
          </w:tblCellMar>
        </w:tblPrEx>
        <w:trPr>
          <w:trHeight w:val="616" w:hRule="atLeast"/>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20255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45F0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专业方向</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2BDD9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初试科目</w:t>
            </w:r>
          </w:p>
        </w:tc>
        <w:tc>
          <w:tcPr>
            <w:tcW w:w="23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E008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复试</w:t>
            </w:r>
            <w:r>
              <w:rPr>
                <w:rFonts w:hint="eastAsia" w:ascii="宋体" w:hAnsi="宋体" w:eastAsia="宋体" w:cs="宋体"/>
                <w:color w:val="auto"/>
                <w:sz w:val="24"/>
                <w:szCs w:val="24"/>
                <w:lang w:eastAsia="zh-CN"/>
              </w:rPr>
              <w:t>笔试</w:t>
            </w:r>
            <w:r>
              <w:rPr>
                <w:rFonts w:hint="eastAsia" w:ascii="宋体" w:hAnsi="宋体" w:eastAsia="宋体" w:cs="宋体"/>
                <w:color w:val="auto"/>
                <w:sz w:val="24"/>
                <w:szCs w:val="24"/>
              </w:rPr>
              <w:t>科目</w:t>
            </w:r>
          </w:p>
        </w:tc>
      </w:tr>
      <w:tr w14:paraId="10CECF2C">
        <w:tblPrEx>
          <w:tblCellMar>
            <w:top w:w="0" w:type="dxa"/>
            <w:left w:w="108" w:type="dxa"/>
            <w:bottom w:w="0" w:type="dxa"/>
            <w:right w:w="108" w:type="dxa"/>
          </w:tblCellMar>
        </w:tblPrEx>
        <w:trPr>
          <w:trHeight w:val="1311" w:hRule="atLeast"/>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815AC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01</w:t>
            </w:r>
          </w:p>
        </w:tc>
        <w:tc>
          <w:tcPr>
            <w:tcW w:w="2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83839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物流工程与管理</w:t>
            </w:r>
          </w:p>
        </w:tc>
        <w:tc>
          <w:tcPr>
            <w:tcW w:w="300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04A07DCD">
            <w:pPr>
              <w:snapToGrid w:val="0"/>
              <w:rPr>
                <w:rFonts w:hint="default" w:ascii="Times New Roman" w:hAnsi="Times New Roman" w:cs="Times New Roman"/>
                <w:sz w:val="24"/>
              </w:rPr>
            </w:pPr>
            <w:r>
              <w:rPr>
                <w:rFonts w:hint="default" w:ascii="Times New Roman" w:hAnsi="Times New Roman" w:cs="Times New Roman"/>
                <w:sz w:val="24"/>
              </w:rPr>
              <w:t>（1）▲管理类综合能力（200分）</w:t>
            </w:r>
          </w:p>
          <w:p w14:paraId="37AFE2AB">
            <w:pPr>
              <w:snapToGrid w:val="0"/>
              <w:spacing w:line="240" w:lineRule="auto"/>
              <w:jc w:val="center"/>
              <w:rPr>
                <w:rFonts w:hint="eastAsia" w:ascii="宋体" w:hAnsi="宋体" w:eastAsia="宋体" w:cs="宋体"/>
                <w:color w:val="000000"/>
                <w:sz w:val="24"/>
                <w:szCs w:val="24"/>
                <w:lang w:val="en-US" w:eastAsia="zh-CN" w:bidi="ar-SA"/>
              </w:rPr>
            </w:pPr>
            <w:r>
              <w:rPr>
                <w:rFonts w:hint="default" w:ascii="Times New Roman" w:hAnsi="Times New Roman" w:cs="Times New Roman"/>
                <w:sz w:val="24"/>
              </w:rPr>
              <w:t>（2）▲英语</w:t>
            </w:r>
            <w:r>
              <w:rPr>
                <w:rFonts w:hint="eastAsia" w:ascii="Times New Roman" w:hAnsi="Times New Roman" w:cs="Times New Roman"/>
                <w:sz w:val="24"/>
                <w:lang w:eastAsia="zh-CN"/>
              </w:rPr>
              <w:t>（</w:t>
            </w:r>
            <w:r>
              <w:rPr>
                <w:rFonts w:hint="default" w:ascii="Times New Roman" w:hAnsi="Times New Roman" w:cs="Times New Roman"/>
                <w:sz w:val="24"/>
              </w:rPr>
              <w:t>二</w:t>
            </w:r>
            <w:r>
              <w:rPr>
                <w:rFonts w:hint="eastAsia" w:ascii="Times New Roman" w:hAnsi="Times New Roman" w:cs="Times New Roman"/>
                <w:sz w:val="24"/>
                <w:lang w:eastAsia="zh-CN"/>
              </w:rPr>
              <w:t>）</w:t>
            </w:r>
            <w:r>
              <w:rPr>
                <w:rFonts w:hint="default" w:ascii="Times New Roman" w:hAnsi="Times New Roman" w:cs="Times New Roman"/>
                <w:sz w:val="24"/>
              </w:rPr>
              <w:t>（100分）</w:t>
            </w:r>
            <w:r>
              <w:rPr>
                <w:rFonts w:hint="eastAsia" w:ascii="宋体" w:hAnsi="宋体" w:eastAsia="宋体" w:cs="宋体"/>
                <w:color w:val="000000"/>
                <w:sz w:val="24"/>
                <w:szCs w:val="24"/>
              </w:rPr>
              <w:t>）</w:t>
            </w:r>
          </w:p>
        </w:tc>
        <w:tc>
          <w:tcPr>
            <w:tcW w:w="23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C5C2CB">
            <w:pPr>
              <w:autoSpaceDE w:val="0"/>
              <w:autoSpaceDN w:val="0"/>
              <w:ind w:left="-21" w:leftChars="-10" w:firstLine="21" w:firstLineChars="9"/>
              <w:jc w:val="center"/>
              <w:rPr>
                <w:rFonts w:hint="eastAsia" w:ascii="宋体" w:hAnsi="宋体" w:eastAsia="宋体" w:cs="宋体"/>
                <w:color w:val="auto"/>
                <w:sz w:val="24"/>
                <w:szCs w:val="24"/>
              </w:rPr>
            </w:pPr>
            <w:r>
              <w:rPr>
                <w:rFonts w:hint="default" w:ascii="Times New Roman" w:hAnsi="Times New Roman" w:cs="Times New Roman"/>
                <w:sz w:val="24"/>
              </w:rPr>
              <w:t>F</w:t>
            </w:r>
            <w:r>
              <w:rPr>
                <w:rFonts w:hint="eastAsia" w:ascii="Times New Roman" w:hAnsi="Times New Roman" w:cs="Times New Roman"/>
                <w:sz w:val="24"/>
                <w:lang w:val="en-US" w:eastAsia="zh-CN"/>
              </w:rPr>
              <w:t>001-思想政治理论（开卷）</w:t>
            </w:r>
          </w:p>
        </w:tc>
      </w:tr>
    </w:tbl>
    <w:p w14:paraId="68EE9456">
      <w:pPr>
        <w:snapToGrid w:val="0"/>
        <w:ind w:firstLine="120"/>
        <w:rPr>
          <w:rFonts w:hint="eastAsia" w:ascii="宋体" w:hAnsi="宋体" w:eastAsia="宋体" w:cs="宋体"/>
          <w:color w:val="auto"/>
          <w:sz w:val="24"/>
          <w:szCs w:val="24"/>
        </w:rPr>
      </w:pPr>
      <w:r>
        <w:rPr>
          <w:rFonts w:hint="eastAsia" w:ascii="宋体" w:hAnsi="宋体" w:eastAsia="宋体" w:cs="宋体"/>
          <w:color w:val="auto"/>
          <w:sz w:val="24"/>
          <w:szCs w:val="24"/>
        </w:rPr>
        <w:t>▲表示统考科目或联考科目，考试题型、考试大纲以教育部公布为准。其他为自命题科目。</w:t>
      </w:r>
    </w:p>
    <w:p w14:paraId="215265D0">
      <w:pPr>
        <w:snapToGrid w:val="0"/>
        <w:ind w:firstLine="120"/>
        <w:rPr>
          <w:rFonts w:hint="eastAsia" w:ascii="宋体" w:hAnsi="宋体" w:eastAsia="宋体" w:cs="宋体"/>
          <w:color w:val="auto"/>
          <w:sz w:val="24"/>
          <w:szCs w:val="24"/>
        </w:rPr>
      </w:pPr>
    </w:p>
    <w:p w14:paraId="37F1A583">
      <w:pPr>
        <w:adjustRightInd w:val="0"/>
        <w:snapToGrid w:val="0"/>
        <w:jc w:val="center"/>
        <w:rPr>
          <w:rFonts w:hint="eastAsia" w:ascii="黑体" w:hAnsi="宋体" w:eastAsia="黑体"/>
          <w:b/>
          <w:sz w:val="36"/>
          <w:szCs w:val="21"/>
          <w:lang w:val="en-US" w:eastAsia="zh-CN"/>
        </w:rPr>
      </w:pPr>
      <w:r>
        <w:rPr>
          <w:rFonts w:hint="eastAsia" w:ascii="黑体" w:hAnsi="宋体" w:eastAsia="黑体"/>
          <w:b/>
          <w:sz w:val="36"/>
          <w:szCs w:val="21"/>
          <w:lang w:val="en-US" w:eastAsia="zh-CN"/>
        </w:rPr>
        <w:t>F001-思想政治理论（开卷）</w:t>
      </w:r>
    </w:p>
    <w:p w14:paraId="2FE589A8">
      <w:pPr>
        <w:adjustRightInd w:val="0"/>
        <w:snapToGrid w:val="0"/>
        <w:jc w:val="center"/>
        <w:rPr>
          <w:rFonts w:hint="eastAsia" w:ascii="宋体" w:hAnsi="宋体" w:cs="宋体"/>
          <w:b w:val="0"/>
          <w:color w:val="000000"/>
          <w:sz w:val="24"/>
          <w:szCs w:val="24"/>
          <w:shd w:val="clear" w:color="auto" w:fill="FFFFFF"/>
          <w:lang w:val="en-US" w:eastAsia="zh-CN"/>
        </w:rPr>
      </w:pPr>
    </w:p>
    <w:p w14:paraId="0C6E658C">
      <w:pPr>
        <w:adjustRightInd w:val="0"/>
        <w:snapToGrid w:val="0"/>
        <w:ind w:firstLine="480" w:firstLineChars="200"/>
        <w:rPr>
          <w:rFonts w:hint="default" w:ascii="Times New Roman" w:hAnsi="Times New Roman" w:eastAsia="仿宋_GB2312" w:cs="Times New Roman"/>
          <w:b/>
          <w:bCs/>
          <w:sz w:val="24"/>
          <w:szCs w:val="20"/>
        </w:rPr>
      </w:pPr>
      <w:r>
        <w:rPr>
          <w:rFonts w:hint="eastAsia" w:ascii="宋体" w:hAnsi="宋体" w:cs="宋体"/>
          <w:b w:val="0"/>
          <w:color w:val="000000"/>
          <w:sz w:val="24"/>
          <w:szCs w:val="24"/>
          <w:shd w:val="clear" w:color="auto" w:fill="FFFFFF"/>
          <w:lang w:val="en-US" w:eastAsia="zh-CN"/>
        </w:rPr>
        <w:t>复试中进行考核。该科目采取笔试，开卷的方式，成绩折算计入复试总成绩。具体安排以学校公布的 《广东财经大学2025 年硕士研究生复试工作方案》为准。</w:t>
      </w:r>
    </w:p>
    <w:p w14:paraId="618E5809">
      <w:pPr>
        <w:adjustRightInd w:val="0"/>
        <w:snapToGrid w:val="0"/>
        <w:rPr>
          <w:rFonts w:hint="default" w:ascii="Times New Roman" w:hAnsi="Times New Roman" w:eastAsia="仿宋_GB2312" w:cs="Times New Roman"/>
          <w:b/>
          <w:bCs/>
          <w:sz w:val="24"/>
          <w:szCs w:val="20"/>
        </w:rPr>
      </w:pPr>
    </w:p>
    <w:p w14:paraId="6FB15253">
      <w:pPr>
        <w:snapToGrid w:val="0"/>
        <w:rPr>
          <w:rFonts w:hint="eastAsia" w:ascii="Times New Roman" w:hAnsi="Times New Roman" w:cs="Times New Roman"/>
          <w:b/>
          <w:sz w:val="24"/>
          <w:szCs w:val="20"/>
          <w:lang w:val="en-US" w:eastAsia="zh-CN"/>
        </w:rPr>
      </w:pPr>
      <w:r>
        <w:rPr>
          <w:rFonts w:hint="eastAsia" w:ascii="Times New Roman" w:hAnsi="Times New Roman" w:cs="Times New Roman"/>
          <w:b/>
          <w:sz w:val="24"/>
          <w:szCs w:val="20"/>
          <w:lang w:val="en-US" w:eastAsia="zh-CN"/>
        </w:rPr>
        <w:t>复试面试考试题型及相应分值如下：</w:t>
      </w:r>
    </w:p>
    <w:p w14:paraId="4E31A00F">
      <w:pPr>
        <w:snapToGrid w:val="0"/>
        <w:rPr>
          <w:rFonts w:hint="eastAsia" w:ascii="Times New Roman" w:hAnsi="Times New Roman" w:eastAsia="宋体" w:cs="Times New Roman"/>
          <w:b/>
          <w:bCs/>
          <w:sz w:val="24"/>
          <w:szCs w:val="20"/>
          <w:lang w:val="en-US" w:eastAsia="zh-CN" w:bidi="ar"/>
        </w:rPr>
      </w:pPr>
      <w:r>
        <w:rPr>
          <w:rFonts w:hint="default" w:ascii="Times New Roman" w:hAnsi="Times New Roman" w:cs="Times New Roman"/>
          <w:b/>
          <w:bCs/>
          <w:sz w:val="24"/>
          <w:szCs w:val="20"/>
          <w:lang w:bidi="ar"/>
        </w:rPr>
        <w:t>《</w:t>
      </w:r>
      <w:r>
        <w:rPr>
          <w:rFonts w:hint="eastAsia" w:ascii="宋体" w:hAnsi="宋体" w:eastAsia="宋体" w:cs="宋体"/>
          <w:color w:val="auto"/>
          <w:sz w:val="24"/>
          <w:szCs w:val="24"/>
        </w:rPr>
        <w:t>物流工程与管理硕士综合素质考试</w:t>
      </w:r>
      <w:r>
        <w:rPr>
          <w:rFonts w:hint="default" w:ascii="Times New Roman" w:hAnsi="Times New Roman" w:cs="Times New Roman"/>
          <w:b/>
          <w:bCs/>
          <w:sz w:val="24"/>
          <w:szCs w:val="20"/>
          <w:lang w:bidi="ar"/>
        </w:rPr>
        <w:t>》</w:t>
      </w:r>
    </w:p>
    <w:p w14:paraId="3FA679F9">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1</w:t>
      </w:r>
      <w:r>
        <w:rPr>
          <w:rFonts w:hint="default" w:ascii="Times New Roman" w:hAnsi="Times New Roman" w:cs="Times New Roman"/>
          <w:sz w:val="24"/>
          <w:szCs w:val="20"/>
          <w:lang w:bidi="ar"/>
        </w:rPr>
        <w:t>.专业与情景化面试 200分</w:t>
      </w:r>
    </w:p>
    <w:p w14:paraId="2DC20A65">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（1）</w:t>
      </w:r>
      <w:r>
        <w:rPr>
          <w:rFonts w:hint="default" w:ascii="Times New Roman" w:hAnsi="Times New Roman" w:cs="Times New Roman"/>
          <w:sz w:val="24"/>
          <w:lang w:bidi="ar"/>
        </w:rPr>
        <w:t>英语口语与听力测试 50分</w:t>
      </w:r>
    </w:p>
    <w:p w14:paraId="0D614D38">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（2）</w:t>
      </w:r>
      <w:r>
        <w:rPr>
          <w:rFonts w:hint="default" w:ascii="Times New Roman" w:hAnsi="Times New Roman" w:cs="Times New Roman"/>
          <w:sz w:val="24"/>
          <w:lang w:bidi="ar"/>
        </w:rPr>
        <w:t xml:space="preserve">综合素质问答题150分 </w:t>
      </w:r>
    </w:p>
    <w:p w14:paraId="4B463153">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2</w:t>
      </w:r>
      <w:r>
        <w:rPr>
          <w:rFonts w:hint="default" w:ascii="Times New Roman" w:hAnsi="Times New Roman" w:cs="Times New Roman"/>
          <w:sz w:val="24"/>
          <w:szCs w:val="20"/>
          <w:lang w:bidi="ar"/>
        </w:rPr>
        <w:t>.无领导小组面试 100分</w:t>
      </w:r>
    </w:p>
    <w:p w14:paraId="4985ED3D">
      <w:pPr>
        <w:adjustRightInd w:val="0"/>
        <w:snapToGrid w:val="0"/>
        <w:ind w:firstLine="480" w:firstLineChars="200"/>
        <w:jc w:val="left"/>
        <w:rPr>
          <w:rFonts w:hint="default" w:ascii="Times New Roman" w:hAnsi="Times New Roman" w:cs="Times New Roman"/>
          <w:sz w:val="24"/>
        </w:rPr>
      </w:pPr>
    </w:p>
    <w:p w14:paraId="2D67DB78">
      <w:pPr>
        <w:adjustRightInd w:val="0"/>
        <w:snapToGrid w:val="0"/>
        <w:rPr>
          <w:rFonts w:hint="default" w:ascii="Times New Roman" w:hAnsi="Times New Roman" w:cs="Times New Roman"/>
          <w:b/>
          <w:sz w:val="24"/>
        </w:rPr>
      </w:pPr>
      <w:r>
        <w:rPr>
          <w:rFonts w:hint="eastAsia" w:ascii="Times New Roman" w:hAnsi="Times New Roman" w:cs="Times New Roman"/>
          <w:b/>
          <w:sz w:val="24"/>
          <w:lang w:val="en-US" w:eastAsia="zh-CN"/>
        </w:rPr>
        <w:t>复试面试</w:t>
      </w:r>
      <w:r>
        <w:rPr>
          <w:rFonts w:hint="default" w:ascii="Times New Roman" w:hAnsi="Times New Roman" w:cs="Times New Roman"/>
          <w:b/>
          <w:sz w:val="24"/>
        </w:rPr>
        <w:t xml:space="preserve">考试大纲 </w:t>
      </w:r>
    </w:p>
    <w:p w14:paraId="41AD3CFB">
      <w:pPr>
        <w:adjustRightInd w:val="0"/>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w:t>
      </w:r>
      <w:r>
        <w:rPr>
          <w:rFonts w:hint="eastAsia" w:ascii="宋体" w:hAnsi="宋体" w:eastAsia="宋体" w:cs="宋体"/>
          <w:color w:val="auto"/>
          <w:sz w:val="24"/>
          <w:szCs w:val="24"/>
        </w:rPr>
        <w:t>物流工程与管理硕士综合素质考试</w:t>
      </w:r>
      <w:r>
        <w:rPr>
          <w:rFonts w:hint="default" w:ascii="Times New Roman" w:hAnsi="Times New Roman" w:cs="Times New Roman"/>
          <w:b/>
          <w:bCs/>
          <w:sz w:val="28"/>
          <w:szCs w:val="28"/>
        </w:rPr>
        <w:t>》</w:t>
      </w:r>
    </w:p>
    <w:p w14:paraId="6C6BC4A1">
      <w:pPr>
        <w:adjustRightInd w:val="0"/>
        <w:snapToGrid w:val="0"/>
        <w:rPr>
          <w:rFonts w:hint="default" w:ascii="Times New Roman" w:hAnsi="Times New Roman" w:cs="Times New Roman"/>
          <w:kern w:val="0"/>
          <w:sz w:val="24"/>
          <w:szCs w:val="20"/>
        </w:rPr>
      </w:pPr>
    </w:p>
    <w:p w14:paraId="4E006077">
      <w:pPr>
        <w:adjustRightInd w:val="0"/>
        <w:snapToGrid w:val="0"/>
        <w:ind w:firstLine="480" w:firstLineChars="200"/>
        <w:rPr>
          <w:rFonts w:hint="eastAsia" w:ascii="Times New Roman" w:hAnsi="Times New Roman" w:eastAsia="宋体" w:cs="Times New Roman"/>
          <w:b/>
          <w:bCs/>
          <w:kern w:val="0"/>
          <w:sz w:val="24"/>
          <w:szCs w:val="20"/>
          <w:lang w:eastAsia="zh-CN"/>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一</w:t>
      </w:r>
      <w:r>
        <w:rPr>
          <w:rFonts w:hint="default" w:ascii="Times New Roman" w:hAnsi="Times New Roman" w:cs="Times New Roman"/>
          <w:b/>
          <w:bCs/>
          <w:kern w:val="0"/>
          <w:sz w:val="24"/>
          <w:szCs w:val="20"/>
        </w:rPr>
        <w:t>部分 专业与情景化面试</w:t>
      </w:r>
      <w:r>
        <w:rPr>
          <w:rFonts w:hint="eastAsia" w:ascii="Times New Roman" w:hAnsi="Times New Roman" w:eastAsia="宋体" w:cs="Times New Roman"/>
          <w:b/>
          <w:bCs/>
          <w:kern w:val="0"/>
          <w:sz w:val="24"/>
          <w:szCs w:val="20"/>
          <w:lang w:eastAsia="zh-CN"/>
        </w:rPr>
        <w:t>，</w:t>
      </w:r>
      <w:r>
        <w:rPr>
          <w:rFonts w:hint="eastAsia" w:ascii="宋体" w:hAnsi="宋体" w:eastAsia="宋体" w:cs="宋体"/>
          <w:color w:val="000000"/>
          <w:sz w:val="24"/>
          <w:szCs w:val="24"/>
        </w:rPr>
        <w:t>考生从复试试题中抽取题目，限时回答（3-5分钟）</w:t>
      </w:r>
    </w:p>
    <w:p w14:paraId="10CE9CA2">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lang w:bidi="ar"/>
        </w:rPr>
        <w:t>（1）</w:t>
      </w:r>
      <w:r>
        <w:rPr>
          <w:rFonts w:hint="default" w:ascii="Times New Roman" w:hAnsi="Times New Roman" w:cs="Times New Roman"/>
          <w:kern w:val="0"/>
          <w:sz w:val="24"/>
          <w:szCs w:val="20"/>
        </w:rPr>
        <w:t>重点考查考生的外语听说能力、发音准确性、语法正确性、表达流畅性等</w:t>
      </w:r>
      <w:r>
        <w:rPr>
          <w:rFonts w:hint="default" w:ascii="Times New Roman" w:hAnsi="Times New Roman" w:cs="Times New Roman"/>
          <w:sz w:val="24"/>
        </w:rPr>
        <w:t>，限时回答。</w:t>
      </w:r>
    </w:p>
    <w:p w14:paraId="5C2BF459">
      <w:pPr>
        <w:adjustRightInd w:val="0"/>
        <w:snapToGrid w:val="0"/>
        <w:ind w:firstLine="480" w:firstLineChars="200"/>
        <w:rPr>
          <w:rFonts w:hint="default" w:ascii="Times New Roman" w:hAnsi="Times New Roman" w:cs="Times New Roman"/>
          <w:kern w:val="0"/>
          <w:sz w:val="24"/>
          <w:szCs w:val="20"/>
        </w:rPr>
      </w:pPr>
      <w:r>
        <w:rPr>
          <w:rFonts w:hint="default" w:ascii="Times New Roman" w:hAnsi="Times New Roman" w:cs="Times New Roman"/>
          <w:sz w:val="24"/>
          <w:lang w:bidi="ar"/>
        </w:rPr>
        <w:t>（2）</w:t>
      </w:r>
      <w:r>
        <w:rPr>
          <w:rFonts w:hint="eastAsia" w:ascii="宋体" w:hAnsi="宋体" w:eastAsia="宋体" w:cs="宋体"/>
          <w:color w:val="000000"/>
          <w:sz w:val="24"/>
          <w:szCs w:val="24"/>
        </w:rPr>
        <w:t>考察专业背景知识、语言表达能力、仪表举止行为、逻辑分析能力、判断决策能力、自我控制能力（心理成熟程度）等。</w:t>
      </w:r>
    </w:p>
    <w:p w14:paraId="58623B4A">
      <w:pPr>
        <w:adjustRightInd w:val="0"/>
        <w:snapToGrid w:val="0"/>
        <w:ind w:left="482" w:hanging="480" w:hangingChars="200"/>
        <w:rPr>
          <w:rFonts w:hint="default" w:ascii="Times New Roman" w:hAnsi="Times New Roman" w:cs="Times New Roman"/>
          <w:b/>
          <w:bCs/>
          <w:kern w:val="0"/>
          <w:sz w:val="24"/>
          <w:szCs w:val="20"/>
        </w:rPr>
      </w:pPr>
    </w:p>
    <w:p w14:paraId="57AA8362">
      <w:pPr>
        <w:numPr>
          <w:numId w:val="0"/>
        </w:numPr>
        <w:adjustRightInd w:val="0"/>
        <w:snapToGrid w:val="0"/>
        <w:ind w:leftChars="-200" w:firstLine="964" w:firstLineChars="400"/>
        <w:rPr>
          <w:rFonts w:hint="default" w:ascii="Times New Roman" w:hAnsi="Times New Roman" w:cs="Times New Roman"/>
          <w:b/>
          <w:bCs/>
          <w:kern w:val="0"/>
          <w:sz w:val="24"/>
          <w:szCs w:val="20"/>
        </w:rPr>
      </w:pPr>
      <w:r>
        <w:rPr>
          <w:rFonts w:hint="eastAsia" w:eastAsia="宋体" w:cs="Times New Roman"/>
          <w:b/>
          <w:bCs/>
          <w:kern w:val="0"/>
          <w:sz w:val="24"/>
          <w:szCs w:val="20"/>
          <w:lang w:val="en-US" w:eastAsia="zh-CN"/>
        </w:rPr>
        <w:t xml:space="preserve">第二部分 </w:t>
      </w:r>
      <w:r>
        <w:rPr>
          <w:rFonts w:hint="default" w:ascii="Times New Roman" w:hAnsi="Times New Roman" w:cs="Times New Roman"/>
          <w:b/>
          <w:bCs/>
          <w:kern w:val="0"/>
          <w:sz w:val="24"/>
          <w:szCs w:val="20"/>
        </w:rPr>
        <w:t>无领导小组面试</w:t>
      </w:r>
    </w:p>
    <w:p w14:paraId="2A5EFE99">
      <w:pPr>
        <w:numPr>
          <w:ilvl w:val="0"/>
          <w:numId w:val="0"/>
        </w:numPr>
        <w:adjustRightInd w:val="0"/>
        <w:snapToGrid w:val="0"/>
        <w:ind w:leftChars="-200"/>
        <w:rPr>
          <w:rFonts w:hint="default" w:ascii="Times New Roman" w:hAnsi="Times New Roman" w:cs="Times New Roman"/>
          <w:b/>
          <w:bCs/>
          <w:kern w:val="0"/>
          <w:sz w:val="24"/>
          <w:szCs w:val="20"/>
        </w:rPr>
      </w:pPr>
    </w:p>
    <w:p w14:paraId="18FB80C3">
      <w:pPr>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每组考生从复试试题中抽取题目，在规定时间内完成。考察考生的应急处理能力、逻辑分析能力、判断决策能力、语言表达能力、沟通交往能力、组织协调能力、创业精神与创新意识、价值取向和职业道德等。</w:t>
      </w:r>
    </w:p>
    <w:p w14:paraId="3CA2E47A">
      <w:pPr>
        <w:autoSpaceDE w:val="0"/>
        <w:autoSpaceDN w:val="0"/>
        <w:rPr>
          <w:rFonts w:hint="eastAsia" w:ascii="宋体" w:hAnsi="宋体" w:eastAsia="宋体" w:cs="宋体"/>
          <w:b/>
          <w:bCs/>
          <w:color w:val="auto"/>
          <w:sz w:val="24"/>
          <w:szCs w:val="24"/>
        </w:rPr>
      </w:pPr>
      <w:bookmarkStart w:id="0" w:name="_GoBack"/>
      <w:bookmarkEnd w:id="0"/>
      <w:r>
        <w:rPr>
          <w:rFonts w:hint="eastAsia" w:ascii="宋体" w:hAnsi="宋体" w:eastAsia="宋体" w:cs="宋体"/>
          <w:b/>
          <w:bCs/>
          <w:color w:val="auto"/>
          <w:sz w:val="24"/>
          <w:szCs w:val="24"/>
        </w:rPr>
        <w:t>学制3年，全日制1</w:t>
      </w:r>
      <w:r>
        <w:rPr>
          <w:rFonts w:hint="eastAsia" w:ascii="宋体" w:hAnsi="宋体" w:eastAsia="宋体" w:cs="宋体"/>
          <w:b/>
          <w:bCs/>
          <w:color w:val="auto"/>
          <w:sz w:val="24"/>
          <w:szCs w:val="24"/>
          <w:lang w:val="en-US" w:eastAsia="zh-CN"/>
        </w:rPr>
        <w:t>.2万元</w:t>
      </w:r>
      <w:r>
        <w:rPr>
          <w:rFonts w:hint="eastAsia" w:ascii="宋体" w:hAnsi="宋体" w:eastAsia="宋体" w:cs="宋体"/>
          <w:b/>
          <w:bCs/>
          <w:color w:val="auto"/>
          <w:sz w:val="24"/>
          <w:szCs w:val="24"/>
        </w:rPr>
        <w:t>元/生/年，非全日制</w:t>
      </w:r>
      <w:r>
        <w:rPr>
          <w:rFonts w:hint="eastAsia" w:ascii="宋体" w:hAnsi="宋体" w:eastAsia="宋体" w:cs="宋体"/>
          <w:b/>
          <w:bCs/>
          <w:color w:val="auto"/>
          <w:sz w:val="24"/>
          <w:szCs w:val="24"/>
          <w:lang w:val="en-US" w:eastAsia="zh-CN"/>
        </w:rPr>
        <w:t>2.8万</w:t>
      </w:r>
      <w:r>
        <w:rPr>
          <w:rFonts w:hint="eastAsia" w:ascii="宋体" w:hAnsi="宋体" w:eastAsia="宋体" w:cs="宋体"/>
          <w:b/>
          <w:bCs/>
          <w:color w:val="auto"/>
          <w:sz w:val="24"/>
          <w:szCs w:val="24"/>
        </w:rPr>
        <w:t>元/生/年</w:t>
      </w:r>
    </w:p>
    <w:p w14:paraId="223DAF5D">
      <w:pPr>
        <w:autoSpaceDE w:val="0"/>
        <w:autoSpaceDN w:val="0"/>
        <w:rPr>
          <w:rFonts w:hint="eastAsia" w:ascii="宋体" w:hAnsi="宋体" w:eastAsia="宋体" w:cs="宋体"/>
          <w:b/>
          <w:bCs/>
          <w:color w:val="auto"/>
          <w:sz w:val="24"/>
          <w:szCs w:val="24"/>
        </w:rPr>
      </w:pPr>
    </w:p>
    <w:p w14:paraId="5023F0C4">
      <w:pPr>
        <w:autoSpaceDE w:val="0"/>
        <w:autoSpaceDN w:val="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就读校区：</w:t>
      </w:r>
      <w:r>
        <w:rPr>
          <w:rFonts w:hint="eastAsia" w:ascii="宋体" w:hAnsi="宋体" w:eastAsia="宋体" w:cs="宋体"/>
          <w:b w:val="0"/>
          <w:bCs w:val="0"/>
          <w:color w:val="auto"/>
          <w:sz w:val="24"/>
          <w:szCs w:val="24"/>
          <w:lang w:val="en-US" w:eastAsia="zh-CN"/>
        </w:rPr>
        <w:t>广州校区</w:t>
      </w:r>
    </w:p>
    <w:p w14:paraId="40964FF0">
      <w:pPr>
        <w:autoSpaceDE w:val="0"/>
        <w:autoSpaceDN w:val="0"/>
        <w:rPr>
          <w:rFonts w:ascii="Calibri" w:eastAsia="宋体"/>
          <w:color w:val="auto"/>
          <w:sz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8EAA">
    <w:pPr>
      <w:tabs>
        <w:tab w:val="center" w:pos="4153"/>
        <w:tab w:val="right" w:pos="8306"/>
      </w:tabs>
      <w:jc w:val="center"/>
      <w:rPr>
        <w:sz w:val="20"/>
      </w:rPr>
    </w:pPr>
    <w:r>
      <w:rPr>
        <w:sz w:val="20"/>
      </w:rPr>
      <w:fldChar w:fldCharType="begin"/>
    </w:r>
    <w:r>
      <w:rPr>
        <w:sz w:val="20"/>
      </w:rPr>
      <w:instrText xml:space="preserve">PAGE</w:instrText>
    </w:r>
    <w:r>
      <w:rPr>
        <w:sz w:val="20"/>
      </w:rPr>
      <w:fldChar w:fldCharType="separate"/>
    </w:r>
    <w:r>
      <w:rPr>
        <w:sz w:val="20"/>
      </w:rPr>
      <w:t>1</w:t>
    </w:r>
    <w:r>
      <w:rPr>
        <w:sz w:val="20"/>
      </w:rPr>
      <w:fldChar w:fldCharType="end"/>
    </w:r>
  </w:p>
  <w:p w14:paraId="08470BB1">
    <w:pPr>
      <w:tabs>
        <w:tab w:val="center" w:pos="4153"/>
        <w:tab w:val="right" w:pos="8306"/>
      </w:tabs>
      <w:jc w:val="left"/>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mFjMjYzNjI0ODE0ZWNhNDE2YWYxYzlkNWRlNzYifQ=="/>
  </w:docVars>
  <w:rsids>
    <w:rsidRoot w:val="007A3CD9"/>
    <w:rsid w:val="0002437E"/>
    <w:rsid w:val="00035F99"/>
    <w:rsid w:val="0016609C"/>
    <w:rsid w:val="00202DCE"/>
    <w:rsid w:val="00286AF7"/>
    <w:rsid w:val="00322347"/>
    <w:rsid w:val="003414EA"/>
    <w:rsid w:val="00353AFE"/>
    <w:rsid w:val="003A7819"/>
    <w:rsid w:val="004779A3"/>
    <w:rsid w:val="00493F1A"/>
    <w:rsid w:val="00497F36"/>
    <w:rsid w:val="00566A58"/>
    <w:rsid w:val="005E1713"/>
    <w:rsid w:val="005F2537"/>
    <w:rsid w:val="005F44F2"/>
    <w:rsid w:val="006F724F"/>
    <w:rsid w:val="007A3CD9"/>
    <w:rsid w:val="007D516C"/>
    <w:rsid w:val="007D6EB4"/>
    <w:rsid w:val="008345F7"/>
    <w:rsid w:val="008B3B5E"/>
    <w:rsid w:val="00966637"/>
    <w:rsid w:val="00995B82"/>
    <w:rsid w:val="00A97851"/>
    <w:rsid w:val="00BC6A6B"/>
    <w:rsid w:val="00C64F7D"/>
    <w:rsid w:val="00D83A95"/>
    <w:rsid w:val="00DC1822"/>
    <w:rsid w:val="0A5432D6"/>
    <w:rsid w:val="0ACD2DEA"/>
    <w:rsid w:val="0CED40BF"/>
    <w:rsid w:val="0D600EA8"/>
    <w:rsid w:val="15B06226"/>
    <w:rsid w:val="195020F5"/>
    <w:rsid w:val="20AD4EAA"/>
    <w:rsid w:val="3DD43180"/>
    <w:rsid w:val="3EF40CFF"/>
    <w:rsid w:val="49C64B8F"/>
    <w:rsid w:val="4A4879BE"/>
    <w:rsid w:val="4B6F0C2C"/>
    <w:rsid w:val="4F4B58D1"/>
    <w:rsid w:val="56C20EB2"/>
    <w:rsid w:val="71092E34"/>
    <w:rsid w:val="719C1451"/>
    <w:rsid w:val="772E1661"/>
    <w:rsid w:val="7A155FB4"/>
    <w:rsid w:val="7F29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jc w:val="both"/>
    </w:pPr>
    <w:rPr>
      <w:rFonts w:ascii="Times New Roman" w:hAnsi="Times New Roman" w:eastAsia="Calibri" w:cs="Times New Roman"/>
      <w:sz w:val="21"/>
      <w:lang w:val="en-US" w:eastAsia="zh-CN" w:bidi="ar-SA"/>
    </w:rPr>
  </w:style>
  <w:style w:type="paragraph" w:styleId="2">
    <w:name w:val="heading 1"/>
    <w:next w:val="1"/>
    <w:qFormat/>
    <w:uiPriority w:val="0"/>
    <w:pPr>
      <w:wordWrap w:val="0"/>
      <w:spacing w:after="160"/>
      <w:jc w:val="both"/>
      <w:outlineLvl w:val="0"/>
    </w:pPr>
    <w:rPr>
      <w:rFonts w:ascii="Times New Roman" w:hAnsi="Times New Roman" w:eastAsia="宋体" w:cs="Times New Roman"/>
      <w:sz w:val="28"/>
      <w:lang w:val="en-US" w:eastAsia="zh-CN" w:bidi="ar-SA"/>
    </w:rPr>
  </w:style>
  <w:style w:type="paragraph" w:styleId="3">
    <w:name w:val="heading 2"/>
    <w:next w:val="1"/>
    <w:qFormat/>
    <w:uiPriority w:val="0"/>
    <w:pPr>
      <w:wordWrap w:val="0"/>
      <w:spacing w:after="160"/>
      <w:jc w:val="both"/>
      <w:outlineLvl w:val="1"/>
    </w:pPr>
    <w:rPr>
      <w:rFonts w:ascii="Times New Roman" w:hAnsi="Times New Roman" w:eastAsia="宋体" w:cs="Times New Roman"/>
      <w:sz w:val="21"/>
      <w:lang w:val="en-US" w:eastAsia="zh-CN" w:bidi="ar-SA"/>
    </w:rPr>
  </w:style>
  <w:style w:type="paragraph" w:styleId="4">
    <w:name w:val="heading 3"/>
    <w:next w:val="1"/>
    <w:qFormat/>
    <w:uiPriority w:val="0"/>
    <w:pPr>
      <w:wordWrap w:val="0"/>
      <w:spacing w:after="160"/>
      <w:ind w:left="1400" w:hanging="400"/>
      <w:jc w:val="both"/>
      <w:outlineLvl w:val="2"/>
    </w:pPr>
    <w:rPr>
      <w:rFonts w:ascii="Times New Roman" w:hAnsi="Times New Roman" w:eastAsia="宋体" w:cs="Times New Roman"/>
      <w:sz w:val="21"/>
      <w:lang w:val="en-US" w:eastAsia="zh-CN" w:bidi="ar-SA"/>
    </w:rPr>
  </w:style>
  <w:style w:type="paragraph" w:styleId="5">
    <w:name w:val="heading 4"/>
    <w:next w:val="1"/>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paragraph" w:styleId="6">
    <w:name w:val="heading 5"/>
    <w:next w:val="1"/>
    <w:qFormat/>
    <w:uiPriority w:val="0"/>
    <w:pPr>
      <w:wordWrap w:val="0"/>
      <w:spacing w:after="160"/>
      <w:ind w:left="1800" w:hanging="400"/>
      <w:jc w:val="both"/>
      <w:outlineLvl w:val="4"/>
    </w:pPr>
    <w:rPr>
      <w:rFonts w:ascii="Times New Roman" w:hAnsi="Times New Roman" w:eastAsia="宋体" w:cs="Times New Roman"/>
      <w:sz w:val="21"/>
      <w:lang w:val="en-US" w:eastAsia="zh-CN" w:bidi="ar-SA"/>
    </w:rPr>
  </w:style>
  <w:style w:type="paragraph" w:styleId="7">
    <w:name w:val="heading 6"/>
    <w:next w:val="1"/>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qFormat/>
    <w:uiPriority w:val="0"/>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qFormat/>
    <w:uiPriority w:val="0"/>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Times New Roman" w:hAnsi="Times New Roman" w:eastAsia="宋体" w:cs="Times New Roman"/>
      <w:sz w:val="21"/>
      <w:lang w:val="en-US" w:eastAsia="zh-CN" w:bidi="ar-SA"/>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3">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14">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5">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16">
    <w:name w:val="footer"/>
    <w:basedOn w:val="1"/>
    <w:link w:val="27"/>
    <w:uiPriority w:val="0"/>
    <w:pPr>
      <w:tabs>
        <w:tab w:val="center" w:pos="4153"/>
        <w:tab w:val="right" w:pos="8306"/>
      </w:tabs>
      <w:snapToGrid w:val="0"/>
      <w:jc w:val="left"/>
    </w:pPr>
    <w:rPr>
      <w:sz w:val="18"/>
      <w:szCs w:val="18"/>
    </w:rPr>
  </w:style>
  <w:style w:type="paragraph" w:styleId="1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8">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19">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20">
    <w:name w:val="toc 6"/>
    <w:next w:val="1"/>
    <w:uiPriority w:val="0"/>
    <w:pPr>
      <w:wordWrap w:val="0"/>
      <w:ind w:left="1700"/>
      <w:jc w:val="both"/>
    </w:pPr>
    <w:rPr>
      <w:rFonts w:ascii="Times New Roman" w:hAnsi="Times New Roman" w:eastAsia="宋体" w:cs="Times New Roman"/>
      <w:sz w:val="21"/>
      <w:lang w:val="en-US" w:eastAsia="zh-CN" w:bidi="ar-SA"/>
    </w:rPr>
  </w:style>
  <w:style w:type="paragraph" w:styleId="21">
    <w:name w:val="toc 2"/>
    <w:next w:val="1"/>
    <w:qFormat/>
    <w:uiPriority w:val="0"/>
    <w:pPr>
      <w:wordWrap w:val="0"/>
      <w:jc w:val="both"/>
    </w:pPr>
    <w:rPr>
      <w:rFonts w:ascii="Times New Roman" w:hAnsi="Times New Roman" w:eastAsia="宋体" w:cs="Times New Roman"/>
      <w:sz w:val="21"/>
      <w:lang w:val="en-US" w:eastAsia="zh-CN" w:bidi="ar-SA"/>
    </w:rPr>
  </w:style>
  <w:style w:type="paragraph" w:styleId="22">
    <w:name w:val="toc 9"/>
    <w:next w:val="1"/>
    <w:qFormat/>
    <w:uiPriority w:val="0"/>
    <w:pPr>
      <w:wordWrap w:val="0"/>
      <w:ind w:left="2975"/>
      <w:jc w:val="both"/>
    </w:pPr>
    <w:rPr>
      <w:rFonts w:ascii="Times New Roman" w:hAnsi="Times New Roman" w:eastAsia="宋体" w:cs="Times New Roman"/>
      <w:sz w:val="21"/>
      <w:lang w:val="en-US" w:eastAsia="zh-CN" w:bidi="ar-SA"/>
    </w:rPr>
  </w:style>
  <w:style w:type="character" w:styleId="25">
    <w:name w:val="Strong"/>
    <w:qFormat/>
    <w:uiPriority w:val="0"/>
    <w:rPr>
      <w:b/>
      <w:sz w:val="20"/>
    </w:rPr>
  </w:style>
  <w:style w:type="character" w:styleId="26">
    <w:name w:val="Emphasis"/>
    <w:qFormat/>
    <w:uiPriority w:val="0"/>
    <w:rPr>
      <w:i/>
      <w:sz w:val="20"/>
    </w:rPr>
  </w:style>
  <w:style w:type="character" w:customStyle="1" w:styleId="27">
    <w:name w:val="页脚 字符"/>
    <w:link w:val="16"/>
    <w:uiPriority w:val="0"/>
    <w:rPr>
      <w:rFonts w:eastAsia="Calibri"/>
      <w:sz w:val="18"/>
      <w:szCs w:val="18"/>
    </w:rPr>
  </w:style>
  <w:style w:type="character" w:customStyle="1" w:styleId="28">
    <w:name w:val="页眉 字符"/>
    <w:link w:val="17"/>
    <w:uiPriority w:val="0"/>
    <w:rPr>
      <w:rFonts w:eastAsia="Calibri"/>
      <w:sz w:val="18"/>
      <w:szCs w:val="18"/>
    </w:rPr>
  </w:style>
  <w:style w:type="character" w:customStyle="1" w:styleId="29">
    <w:name w:val="_Style 28"/>
    <w:qFormat/>
    <w:uiPriority w:val="0"/>
    <w:rPr>
      <w:sz w:val="20"/>
    </w:rPr>
  </w:style>
  <w:style w:type="character" w:customStyle="1" w:styleId="30">
    <w:name w:val="_Style 29"/>
    <w:qFormat/>
    <w:uiPriority w:val="0"/>
    <w:rPr>
      <w:i/>
      <w:sz w:val="20"/>
    </w:rPr>
  </w:style>
  <w:style w:type="character" w:customStyle="1" w:styleId="31">
    <w:name w:val="_Style 30"/>
    <w:qFormat/>
    <w:uiPriority w:val="0"/>
    <w:rPr>
      <w:b/>
      <w:sz w:val="20"/>
    </w:rPr>
  </w:style>
  <w:style w:type="character" w:customStyle="1" w:styleId="32">
    <w:name w:val="_Style 31"/>
    <w:qFormat/>
    <w:uiPriority w:val="0"/>
    <w:rPr>
      <w:b/>
      <w:i/>
      <w:sz w:val="20"/>
    </w:rPr>
  </w:style>
  <w:style w:type="character" w:customStyle="1" w:styleId="33">
    <w:name w:val="_Style 32"/>
    <w:qFormat/>
    <w:uiPriority w:val="0"/>
    <w:rPr>
      <w:i/>
      <w:sz w:val="20"/>
    </w:rPr>
  </w:style>
  <w:style w:type="paragraph" w:customStyle="1" w:styleId="34">
    <w:name w:val="toc 92"/>
    <w:next w:val="1"/>
    <w:uiPriority w:val="0"/>
    <w:pPr>
      <w:wordWrap w:val="0"/>
      <w:ind w:left="3400"/>
      <w:jc w:val="both"/>
    </w:pPr>
    <w:rPr>
      <w:rFonts w:ascii="Times New Roman" w:hAnsi="Times New Roman" w:eastAsia="宋体" w:cs="Times New Roman"/>
      <w:sz w:val="21"/>
      <w:lang w:val="en-US" w:eastAsia="zh-CN" w:bidi="ar-SA"/>
    </w:rPr>
  </w:style>
  <w:style w:type="paragraph" w:customStyle="1" w:styleId="35">
    <w:name w:val="toc 12"/>
    <w:next w:val="1"/>
    <w:uiPriority w:val="0"/>
    <w:pPr>
      <w:wordWrap w:val="0"/>
      <w:jc w:val="both"/>
    </w:pPr>
    <w:rPr>
      <w:rFonts w:ascii="Times New Roman" w:hAnsi="Times New Roman" w:eastAsia="宋体" w:cs="Times New Roman"/>
      <w:sz w:val="21"/>
      <w:lang w:val="en-US" w:eastAsia="zh-CN" w:bidi="ar-SA"/>
    </w:rPr>
  </w:style>
  <w:style w:type="paragraph" w:customStyle="1" w:styleId="36">
    <w:name w:val="TOC 71"/>
    <w:next w:val="1"/>
    <w:uiPriority w:val="0"/>
    <w:pPr>
      <w:wordWrap w:val="0"/>
      <w:ind w:left="2550"/>
      <w:jc w:val="both"/>
    </w:pPr>
    <w:rPr>
      <w:rFonts w:ascii="Times New Roman" w:hAnsi="Times New Roman" w:eastAsia="宋体" w:cs="Times New Roman"/>
      <w:sz w:val="21"/>
      <w:lang w:val="en-US" w:eastAsia="zh-CN" w:bidi="ar-SA"/>
    </w:rPr>
  </w:style>
  <w:style w:type="paragraph" w:customStyle="1" w:styleId="37">
    <w:name w:val="toc 51"/>
    <w:next w:val="1"/>
    <w:uiPriority w:val="0"/>
    <w:pPr>
      <w:wordWrap w:val="0"/>
      <w:ind w:left="1700"/>
      <w:jc w:val="both"/>
    </w:pPr>
    <w:rPr>
      <w:rFonts w:ascii="Times New Roman" w:hAnsi="Times New Roman" w:eastAsia="宋体" w:cs="Times New Roman"/>
      <w:sz w:val="21"/>
      <w:lang w:val="en-US" w:eastAsia="zh-CN" w:bidi="ar-SA"/>
    </w:rPr>
  </w:style>
  <w:style w:type="paragraph" w:customStyle="1" w:styleId="38">
    <w:name w:val="toc 43"/>
    <w:next w:val="1"/>
    <w:uiPriority w:val="0"/>
    <w:pPr>
      <w:wordWrap w:val="0"/>
      <w:ind w:left="1275"/>
      <w:jc w:val="both"/>
    </w:pPr>
    <w:rPr>
      <w:rFonts w:ascii="Times New Roman" w:hAnsi="Times New Roman" w:eastAsia="宋体" w:cs="Times New Roman"/>
      <w:sz w:val="21"/>
      <w:lang w:val="en-US" w:eastAsia="zh-CN" w:bidi="ar-SA"/>
    </w:rPr>
  </w:style>
  <w:style w:type="paragraph" w:customStyle="1" w:styleId="39">
    <w:name w:val="toc 83"/>
    <w:next w:val="1"/>
    <w:qFormat/>
    <w:uiPriority w:val="0"/>
    <w:pPr>
      <w:wordWrap w:val="0"/>
      <w:ind w:left="2975"/>
      <w:jc w:val="both"/>
    </w:pPr>
    <w:rPr>
      <w:rFonts w:ascii="Times New Roman" w:hAnsi="Times New Roman" w:eastAsia="宋体" w:cs="Times New Roman"/>
      <w:sz w:val="21"/>
      <w:lang w:val="en-US" w:eastAsia="zh-CN" w:bidi="ar-SA"/>
    </w:rPr>
  </w:style>
  <w:style w:type="paragraph" w:styleId="40">
    <w:name w:val="List Paragraph"/>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1">
    <w:name w:val="toc 53"/>
    <w:next w:val="1"/>
    <w:uiPriority w:val="0"/>
    <w:pPr>
      <w:wordWrap w:val="0"/>
      <w:ind w:left="1700"/>
      <w:jc w:val="both"/>
    </w:pPr>
    <w:rPr>
      <w:rFonts w:ascii="Times New Roman" w:hAnsi="Times New Roman" w:eastAsia="宋体" w:cs="Times New Roman"/>
      <w:sz w:val="21"/>
      <w:lang w:val="en-US" w:eastAsia="zh-CN" w:bidi="ar-SA"/>
    </w:rPr>
  </w:style>
  <w:style w:type="paragraph" w:customStyle="1" w:styleId="42">
    <w:name w:val="TOC 61"/>
    <w:next w:val="1"/>
    <w:uiPriority w:val="0"/>
    <w:pPr>
      <w:wordWrap w:val="0"/>
      <w:ind w:left="2125"/>
      <w:jc w:val="both"/>
    </w:pPr>
    <w:rPr>
      <w:rFonts w:ascii="Times New Roman" w:hAnsi="Times New Roman" w:eastAsia="宋体" w:cs="Times New Roman"/>
      <w:sz w:val="21"/>
      <w:lang w:val="en-US" w:eastAsia="zh-CN" w:bidi="ar-SA"/>
    </w:rPr>
  </w:style>
  <w:style w:type="paragraph" w:customStyle="1" w:styleId="4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44">
    <w:name w:val="toc 61"/>
    <w:next w:val="1"/>
    <w:uiPriority w:val="0"/>
    <w:pPr>
      <w:wordWrap w:val="0"/>
      <w:ind w:left="2125"/>
      <w:jc w:val="both"/>
    </w:pPr>
    <w:rPr>
      <w:rFonts w:ascii="Times New Roman" w:hAnsi="Times New Roman" w:eastAsia="宋体" w:cs="Times New Roman"/>
      <w:sz w:val="21"/>
      <w:lang w:val="en-US" w:eastAsia="zh-CN" w:bidi="ar-SA"/>
    </w:rPr>
  </w:style>
  <w:style w:type="paragraph" w:customStyle="1" w:styleId="45">
    <w:name w:val="toc 63"/>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6">
    <w:name w:val="toc 93"/>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47">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48">
    <w:name w:val="toc 23"/>
    <w:next w:val="1"/>
    <w:uiPriority w:val="0"/>
    <w:pPr>
      <w:wordWrap w:val="0"/>
      <w:ind w:left="425"/>
      <w:jc w:val="both"/>
    </w:pPr>
    <w:rPr>
      <w:rFonts w:ascii="Times New Roman" w:hAnsi="Times New Roman" w:eastAsia="宋体" w:cs="Times New Roman"/>
      <w:sz w:val="21"/>
      <w:lang w:val="en-US" w:eastAsia="zh-CN" w:bidi="ar-SA"/>
    </w:rPr>
  </w:style>
  <w:style w:type="paragraph" w:customStyle="1" w:styleId="49">
    <w:name w:val="toc 2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50">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51">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52">
    <w:name w:val="toc 13"/>
    <w:next w:val="1"/>
    <w:qFormat/>
    <w:uiPriority w:val="0"/>
    <w:pPr>
      <w:wordWrap w:val="0"/>
      <w:jc w:val="both"/>
    </w:pPr>
    <w:rPr>
      <w:rFonts w:ascii="Times New Roman" w:hAnsi="Times New Roman" w:eastAsia="宋体" w:cs="Times New Roman"/>
      <w:sz w:val="21"/>
      <w:lang w:val="en-US" w:eastAsia="zh-CN" w:bidi="ar-SA"/>
    </w:rPr>
  </w:style>
  <w:style w:type="paragraph" w:customStyle="1" w:styleId="5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54">
    <w:name w:val="TOC Heading2"/>
    <w:next w:val="1"/>
    <w:qFormat/>
    <w:uiPriority w:val="0"/>
    <w:pPr>
      <w:wordWrap w:val="0"/>
    </w:pPr>
    <w:rPr>
      <w:rFonts w:ascii="Times New Roman" w:hAnsi="Times New Roman" w:eastAsia="宋体" w:cs="Times New Roman"/>
      <w:sz w:val="32"/>
      <w:lang w:val="en-US" w:eastAsia="zh-CN" w:bidi="ar-SA"/>
    </w:rPr>
  </w:style>
  <w:style w:type="paragraph" w:customStyle="1" w:styleId="55">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56">
    <w:name w:val="toc 33"/>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57">
    <w:name w:val="toc 7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58">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59">
    <w:name w:val="TOC Heading1"/>
    <w:next w:val="1"/>
    <w:qFormat/>
    <w:uiPriority w:val="0"/>
    <w:pPr>
      <w:wordWrap w:val="0"/>
    </w:pPr>
    <w:rPr>
      <w:rFonts w:ascii="Times New Roman" w:hAnsi="Times New Roman" w:eastAsia="宋体" w:cs="Times New Roman"/>
      <w:sz w:val="32"/>
      <w:lang w:val="en-US" w:eastAsia="zh-CN" w:bidi="ar-SA"/>
    </w:rPr>
  </w:style>
  <w:style w:type="paragraph" w:customStyle="1" w:styleId="60">
    <w:name w:val="toc 52"/>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61">
    <w:name w:val="toc 32"/>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62">
    <w:name w:val="TOC Heading3"/>
    <w:next w:val="1"/>
    <w:qFormat/>
    <w:uiPriority w:val="0"/>
    <w:pPr>
      <w:wordWrap w:val="0"/>
    </w:pPr>
    <w:rPr>
      <w:rFonts w:ascii="Times New Roman" w:hAnsi="Times New Roman" w:eastAsia="宋体" w:cs="Times New Roman"/>
      <w:sz w:val="32"/>
      <w:lang w:val="en-US" w:eastAsia="zh-CN" w:bidi="ar-SA"/>
    </w:rPr>
  </w:style>
  <w:style w:type="paragraph" w:customStyle="1" w:styleId="63">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64">
    <w:name w:val="toc 42"/>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5">
    <w:name w:val="普通(网站)1"/>
    <w:basedOn w:val="1"/>
    <w:next w:val="1"/>
    <w:qFormat/>
    <w:uiPriority w:val="0"/>
    <w:rPr>
      <w:rFonts w:ascii="宋体" w:eastAsia="宋体"/>
      <w:sz w:val="24"/>
    </w:rPr>
  </w:style>
  <w:style w:type="paragraph" w:customStyle="1" w:styleId="66">
    <w:name w:val="toc 8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7">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68">
    <w:name w:val="TOC Heading4"/>
    <w:next w:val="1"/>
    <w:qFormat/>
    <w:uiPriority w:val="0"/>
    <w:pPr>
      <w:wordWrap w:val="0"/>
    </w:pPr>
    <w:rPr>
      <w:rFonts w:ascii="Times New Roman" w:hAnsi="Times New Roman" w:eastAsia="宋体" w:cs="Times New Roman"/>
      <w:sz w:val="32"/>
      <w:lang w:val="en-US" w:eastAsia="zh-CN" w:bidi="ar-SA"/>
    </w:rPr>
  </w:style>
  <w:style w:type="paragraph" w:styleId="6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0">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72">
    <w:name w:val="toc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73">
    <w:name w:val="_Style 72"/>
    <w:next w:val="1"/>
    <w:qFormat/>
    <w:uiPriority w:val="0"/>
    <w:pPr>
      <w:wordWrap w:val="0"/>
    </w:pPr>
    <w:rPr>
      <w:rFonts w:ascii="Times New Roman" w:hAnsi="Times New Roman" w:eastAsia="宋体" w:cs="Times New Roman"/>
      <w:sz w:val="32"/>
      <w:lang w:val="en-US" w:eastAsia="zh-CN" w:bidi="ar-SA"/>
    </w:rPr>
  </w:style>
  <w:style w:type="paragraph" w:customStyle="1" w:styleId="74">
    <w:name w:val="toc 7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75">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6">
    <w:name w:val="toc 62"/>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77">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8">
    <w:name w:val="TOC 51"/>
    <w:next w:val="1"/>
    <w:qFormat/>
    <w:uiPriority w:val="0"/>
    <w:pPr>
      <w:wordWrap w:val="0"/>
      <w:ind w:left="170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1171</Words>
  <Characters>1249</Characters>
  <Lines>8</Lines>
  <Paragraphs>2</Paragraphs>
  <TotalTime>4</TotalTime>
  <ScaleCrop>false</ScaleCrop>
  <LinksUpToDate>false</LinksUpToDate>
  <CharactersWithSpaces>1270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2023-09-18T05:45:00Z</dcterms:created>
  <dc:creator>swift</dc:creator>
  <cp:lastModifiedBy>李细叶</cp:lastModifiedBy>
  <cp:lastPrinted>2020-06-22T02:42:00Z</cp:lastPrinted>
  <dcterms:modified xsi:type="dcterms:W3CDTF">2024-09-30T07:12:56Z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B752304A1B43459A8414FDC415787D6C_13</vt:lpwstr>
  </property>
</Properties>
</file>