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8B88">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国际贸易学 020206</w:t>
      </w:r>
    </w:p>
    <w:p w14:paraId="70545525">
      <w:pPr>
        <w:adjustRightInd w:val="0"/>
        <w:snapToGrid w:val="0"/>
        <w:jc w:val="center"/>
        <w:rPr>
          <w:rFonts w:hint="eastAsia" w:ascii="宋体" w:hAnsi="宋体" w:cs="宋体"/>
          <w:b/>
          <w:color w:val="000000"/>
          <w:sz w:val="36"/>
          <w:szCs w:val="36"/>
        </w:rPr>
      </w:pPr>
    </w:p>
    <w:p w14:paraId="60568C25">
      <w:pPr>
        <w:pStyle w:val="3"/>
        <w:adjustRightInd w:val="0"/>
        <w:snapToGrid w:val="0"/>
        <w:spacing w:before="0" w:beforeAutospacing="0" w:after="0" w:afterAutospacing="0"/>
        <w:rPr>
          <w:color w:val="000000"/>
        </w:rPr>
      </w:pPr>
      <w:r>
        <w:rPr>
          <w:rFonts w:hint="eastAsia"/>
          <w:b/>
          <w:bCs/>
        </w:rPr>
        <w:t>学科点简介：</w:t>
      </w:r>
      <w:r>
        <w:rPr>
          <w:rFonts w:hint="eastAsia"/>
          <w:color w:val="000000"/>
        </w:rPr>
        <w:t>国际贸易学是应用经济学博士授权点和省级优势重点学科的主干学科，</w:t>
      </w:r>
      <w:r>
        <w:rPr>
          <w:rFonts w:hint="eastAsia"/>
          <w:bCs/>
          <w:color w:val="000000"/>
        </w:rPr>
        <w:t>200</w:t>
      </w:r>
      <w:r>
        <w:rPr>
          <w:bCs/>
          <w:color w:val="000000"/>
        </w:rPr>
        <w:t>6</w:t>
      </w:r>
      <w:r>
        <w:rPr>
          <w:rFonts w:hint="eastAsia"/>
          <w:bCs/>
          <w:color w:val="000000"/>
        </w:rPr>
        <w:t>年获国际贸易学</w:t>
      </w:r>
      <w:bookmarkStart w:id="0" w:name="_Hlk136800106"/>
      <w:r>
        <w:rPr>
          <w:rFonts w:hint="eastAsia"/>
          <w:bCs/>
          <w:color w:val="000000"/>
        </w:rPr>
        <w:t>硕士</w:t>
      </w:r>
      <w:bookmarkEnd w:id="0"/>
      <w:r>
        <w:rPr>
          <w:rFonts w:hint="eastAsia"/>
          <w:bCs/>
          <w:color w:val="000000"/>
        </w:rPr>
        <w:t>学位授予权，2021年国际贸易所属一级学科获批为应用经济学博士学位授权点。</w:t>
      </w:r>
      <w:r>
        <w:rPr>
          <w:rFonts w:hint="eastAsia"/>
          <w:color w:val="000000"/>
        </w:rPr>
        <w:t>现有专业教师3</w:t>
      </w:r>
      <w:r>
        <w:rPr>
          <w:color w:val="000000"/>
        </w:rPr>
        <w:t>2</w:t>
      </w:r>
      <w:r>
        <w:rPr>
          <w:rFonts w:hint="eastAsia"/>
          <w:color w:val="000000"/>
        </w:rPr>
        <w:t>人，</w:t>
      </w:r>
      <w:r>
        <w:rPr>
          <w:rFonts w:hint="eastAsia"/>
          <w:color w:val="000000"/>
          <w:lang w:val="en-US" w:eastAsia="zh-CN"/>
        </w:rPr>
        <w:t>100</w:t>
      </w:r>
      <w:r>
        <w:rPr>
          <w:rFonts w:hint="eastAsia"/>
          <w:bCs/>
          <w:color w:val="000000"/>
        </w:rPr>
        <w:t>%以上的教师具有博士学位，40%以上教师具有海外经历，</w:t>
      </w:r>
      <w:r>
        <w:rPr>
          <w:rFonts w:hint="eastAsia"/>
          <w:color w:val="000000"/>
        </w:rPr>
        <w:t>其中教授</w:t>
      </w:r>
      <w:r>
        <w:rPr>
          <w:rFonts w:hint="eastAsia"/>
          <w:color w:val="000000"/>
          <w:lang w:val="en-US" w:eastAsia="zh-CN"/>
        </w:rPr>
        <w:t>8</w:t>
      </w:r>
      <w:r>
        <w:rPr>
          <w:rFonts w:hint="eastAsia"/>
          <w:color w:val="000000"/>
        </w:rPr>
        <w:t>人，副教授1</w:t>
      </w:r>
      <w:r>
        <w:rPr>
          <w:rFonts w:hint="eastAsia"/>
          <w:color w:val="000000"/>
          <w:lang w:val="en-US" w:eastAsia="zh-CN"/>
        </w:rPr>
        <w:t>5</w:t>
      </w:r>
      <w:r>
        <w:rPr>
          <w:rFonts w:hint="eastAsia"/>
          <w:color w:val="000000"/>
        </w:rPr>
        <w:t>人，博士生导师和硕士生导师</w:t>
      </w:r>
      <w:r>
        <w:rPr>
          <w:color w:val="000000"/>
        </w:rPr>
        <w:t>2</w:t>
      </w:r>
      <w:r>
        <w:rPr>
          <w:rFonts w:hint="eastAsia"/>
          <w:color w:val="000000"/>
          <w:lang w:val="en-US" w:eastAsia="zh-CN"/>
        </w:rPr>
        <w:t>3</w:t>
      </w:r>
      <w:r>
        <w:rPr>
          <w:rFonts w:hint="eastAsia"/>
          <w:color w:val="000000"/>
        </w:rPr>
        <w:t>名，全国优秀老师、</w:t>
      </w:r>
      <w:r>
        <w:rPr>
          <w:rFonts w:hint="eastAsia"/>
          <w:bCs/>
          <w:color w:val="000000"/>
        </w:rPr>
        <w:t>南粤优秀教师等各类高层次人才近1</w:t>
      </w:r>
      <w:r>
        <w:rPr>
          <w:bCs/>
          <w:color w:val="000000"/>
        </w:rPr>
        <w:t>0</w:t>
      </w:r>
      <w:r>
        <w:rPr>
          <w:rFonts w:hint="eastAsia"/>
          <w:bCs/>
          <w:color w:val="000000"/>
        </w:rPr>
        <w:t>人；拥有2个省级科研平台（广东数字经济研究院和开放型经济创新研究中心），</w:t>
      </w:r>
      <w:r>
        <w:rPr>
          <w:bCs/>
          <w:color w:val="000000"/>
        </w:rPr>
        <w:t>1</w:t>
      </w:r>
      <w:r>
        <w:rPr>
          <w:rFonts w:hint="eastAsia"/>
          <w:bCs/>
          <w:color w:val="000000"/>
        </w:rPr>
        <w:t>支省级科研团队（区域经济协调与可持续开放发展团队），与世界百强名校</w:t>
      </w:r>
      <w:r>
        <w:rPr>
          <w:rFonts w:cs="Arial"/>
          <w:color w:val="000000"/>
          <w:shd w:val="clear" w:color="auto" w:fill="FFFFFF"/>
        </w:rPr>
        <w:t>乌普萨拉大学(Uppsala University)</w:t>
      </w:r>
      <w:r>
        <w:rPr>
          <w:rFonts w:hint="eastAsia"/>
          <w:bCs/>
          <w:color w:val="000000"/>
        </w:rPr>
        <w:t>和</w:t>
      </w:r>
      <w:r>
        <w:rPr>
          <w:rStyle w:val="11"/>
          <w:rFonts w:cs="Arial"/>
          <w:i w:val="0"/>
          <w:iCs w:val="0"/>
          <w:color w:val="000000"/>
          <w:shd w:val="clear" w:color="auto" w:fill="FFFFFF"/>
        </w:rPr>
        <w:t>北亚利桑那大学</w:t>
      </w:r>
      <w:r>
        <w:rPr>
          <w:rFonts w:cs="Arial"/>
          <w:color w:val="000000"/>
          <w:shd w:val="clear" w:color="auto" w:fill="FFFFFF"/>
        </w:rPr>
        <w:t>（Northern Arizona University）</w:t>
      </w:r>
      <w:r>
        <w:rPr>
          <w:rFonts w:hint="eastAsia"/>
          <w:bCs/>
          <w:color w:val="000000"/>
        </w:rPr>
        <w:t>等境外知名高校开展多形式的交流合作。</w:t>
      </w:r>
      <w:r>
        <w:rPr>
          <w:rFonts w:hint="eastAsia"/>
          <w:color w:val="000000"/>
        </w:rPr>
        <w:t>近3年来，主持国家社会科学基金</w:t>
      </w:r>
      <w:r>
        <w:rPr>
          <w:rFonts w:hint="eastAsia"/>
          <w:color w:val="000000"/>
          <w:lang w:val="en-US" w:eastAsia="zh-CN"/>
        </w:rPr>
        <w:t>重大</w:t>
      </w:r>
      <w:r>
        <w:rPr>
          <w:rFonts w:hint="eastAsia"/>
          <w:color w:val="000000"/>
        </w:rPr>
        <w:t>重点项目、国家自然科学基金面上项目等国家级、省部级项目60多项；在国内外权威学术刊物上公开发表论文80余篇；获</w:t>
      </w:r>
      <w:r>
        <w:rPr>
          <w:color w:val="000000"/>
        </w:rPr>
        <w:t>教育部高等学校科学研究优秀成果奖、广东省教育教学成果一等奖</w:t>
      </w:r>
      <w:r>
        <w:rPr>
          <w:rFonts w:hint="eastAsia"/>
          <w:color w:val="000000"/>
        </w:rPr>
        <w:t>等省部级以上奖项近10项；研究报告获</w:t>
      </w:r>
      <w:r>
        <w:rPr>
          <w:rFonts w:hint="eastAsia"/>
          <w:color w:val="000000"/>
          <w:lang w:val="en-US" w:eastAsia="zh-CN"/>
        </w:rPr>
        <w:t>中央</w:t>
      </w:r>
      <w:r>
        <w:rPr>
          <w:rFonts w:hint="eastAsia"/>
          <w:color w:val="000000"/>
        </w:rPr>
        <w:t>主要领导、省部级领导肯定性批示</w:t>
      </w:r>
      <w:r>
        <w:rPr>
          <w:rFonts w:hint="eastAsia"/>
          <w:color w:val="000000"/>
          <w:lang w:val="en-US" w:eastAsia="zh-CN"/>
        </w:rPr>
        <w:t>2</w:t>
      </w:r>
      <w:r>
        <w:rPr>
          <w:rFonts w:hint="eastAsia"/>
          <w:color w:val="000000"/>
        </w:rPr>
        <w:t>0多项；培养国际贸易专业</w:t>
      </w:r>
      <w:r>
        <w:rPr>
          <w:rFonts w:hint="eastAsia"/>
          <w:bCs/>
          <w:color w:val="000000"/>
        </w:rPr>
        <w:t>硕士研究</w:t>
      </w:r>
      <w:r>
        <w:rPr>
          <w:rFonts w:hint="eastAsia"/>
          <w:color w:val="000000"/>
        </w:rPr>
        <w:t>生</w:t>
      </w:r>
      <w:r>
        <w:rPr>
          <w:color w:val="000000"/>
        </w:rPr>
        <w:t>1</w:t>
      </w:r>
      <w:r>
        <w:rPr>
          <w:rFonts w:hint="eastAsia"/>
          <w:color w:val="000000"/>
          <w:lang w:val="en-US" w:eastAsia="zh-CN"/>
        </w:rPr>
        <w:t>23</w:t>
      </w:r>
      <w:r>
        <w:rPr>
          <w:rFonts w:hint="eastAsia"/>
          <w:color w:val="000000"/>
        </w:rPr>
        <w:t>人</w:t>
      </w:r>
      <w:r>
        <w:rPr>
          <w:rFonts w:hint="eastAsia"/>
          <w:color w:val="000000"/>
          <w:lang w:eastAsia="zh-CN"/>
        </w:rPr>
        <w:t>（</w:t>
      </w:r>
      <w:r>
        <w:rPr>
          <w:rFonts w:hint="eastAsia"/>
          <w:color w:val="000000"/>
          <w:lang w:val="en-US" w:eastAsia="zh-CN"/>
        </w:rPr>
        <w:t>含国外留学生8人）</w:t>
      </w:r>
      <w:r>
        <w:rPr>
          <w:rFonts w:hint="eastAsia"/>
          <w:color w:val="000000"/>
        </w:rPr>
        <w:t>，就业范围主要包括政府机关、高等院校、金融机构、</w:t>
      </w:r>
      <w:r>
        <w:rPr>
          <w:rFonts w:hint="eastAsia"/>
          <w:color w:val="000000"/>
          <w:lang w:val="en-US" w:eastAsia="zh-CN"/>
        </w:rPr>
        <w:t>进出口</w:t>
      </w:r>
      <w:r>
        <w:rPr>
          <w:rFonts w:hint="eastAsia"/>
          <w:color w:val="000000"/>
        </w:rPr>
        <w:t>贸易公司等。</w:t>
      </w:r>
    </w:p>
    <w:p w14:paraId="0CA40B3D">
      <w:pPr>
        <w:pStyle w:val="3"/>
        <w:adjustRightInd w:val="0"/>
        <w:snapToGrid w:val="0"/>
        <w:spacing w:before="0" w:beforeAutospacing="0" w:after="0" w:afterAutospacing="0"/>
        <w:rPr>
          <w:rFonts w:hint="eastAsia"/>
        </w:rPr>
      </w:pPr>
    </w:p>
    <w:p w14:paraId="7E6CC35D">
      <w:pPr>
        <w:adjustRightInd w:val="0"/>
        <w:snapToGrid w:val="0"/>
        <w:rPr>
          <w:rFonts w:hint="eastAsia" w:ascii="宋体" w:hAnsi="宋体" w:cs="宋体"/>
          <w:kern w:val="0"/>
          <w:sz w:val="24"/>
        </w:rPr>
      </w:pPr>
      <w:r>
        <w:rPr>
          <w:rFonts w:hint="eastAsia" w:ascii="宋体" w:hAnsi="宋体" w:cs="宋体"/>
          <w:b/>
          <w:bCs/>
          <w:kern w:val="0"/>
          <w:sz w:val="24"/>
        </w:rPr>
        <w:t>培养目标：</w:t>
      </w:r>
      <w:r>
        <w:rPr>
          <w:rFonts w:hint="eastAsia" w:ascii="宋体" w:hAnsi="宋体" w:cs="宋体"/>
          <w:kern w:val="0"/>
          <w:sz w:val="24"/>
        </w:rPr>
        <w:t>培养德、智、体、美、劳全面发展的高层次国际贸易专门人才。要求学生：热爱祖国，热爱社会主义，拥护中国共产党的领导，遵纪守法，有良好的品德修养，身心健康；努力学习，勤于实践，积极探索，勇于创新；系统掌握本学科基础理论和专门知识，熟练掌握一门外语，并能熟练地使用信息与网络技术开展研究工作；具有从事本领域的科研、教学及相关经济管理工作的能力。</w:t>
      </w:r>
    </w:p>
    <w:p w14:paraId="001420DA">
      <w:pPr>
        <w:widowControl/>
        <w:adjustRightInd w:val="0"/>
        <w:snapToGrid w:val="0"/>
        <w:rPr>
          <w:rFonts w:hint="eastAsia" w:ascii="宋体" w:hAnsi="宋体" w:cs="宋体"/>
          <w:b/>
          <w:bCs/>
          <w:kern w:val="0"/>
          <w:sz w:val="24"/>
        </w:rPr>
      </w:pPr>
    </w:p>
    <w:p w14:paraId="741BDE52">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cs="宋体"/>
          <w:kern w:val="0"/>
          <w:sz w:val="24"/>
          <w:szCs w:val="24"/>
        </w:rPr>
      </w:pPr>
      <w:r>
        <w:rPr>
          <w:rFonts w:hint="eastAsia" w:ascii="宋体" w:hAnsi="宋体" w:cs="宋体"/>
          <w:b/>
          <w:bCs/>
          <w:kern w:val="0"/>
          <w:sz w:val="24"/>
        </w:rPr>
        <w:t>主要课程：</w:t>
      </w:r>
      <w:r>
        <w:rPr>
          <w:rFonts w:hint="eastAsia" w:ascii="宋体" w:hAnsi="宋体" w:cs="宋体"/>
          <w:kern w:val="0"/>
          <w:sz w:val="24"/>
          <w:szCs w:val="24"/>
        </w:rPr>
        <w:t>中级微观经济学、中级宏观经济学、</w:t>
      </w:r>
      <w:r>
        <w:rPr>
          <w:rFonts w:hint="eastAsia" w:ascii="宋体" w:hAnsi="宋体" w:cs="宋体"/>
          <w:kern w:val="0"/>
          <w:sz w:val="24"/>
          <w:szCs w:val="24"/>
          <w:lang w:val="en-US" w:eastAsia="zh-CN"/>
        </w:rPr>
        <w:t>中级</w:t>
      </w:r>
      <w:r>
        <w:rPr>
          <w:rFonts w:hint="eastAsia" w:ascii="宋体" w:hAnsi="宋体" w:cs="宋体"/>
          <w:kern w:val="0"/>
          <w:sz w:val="24"/>
          <w:szCs w:val="24"/>
        </w:rPr>
        <w:t>计量经济学、国际贸易学、数字经济学、国际投资学、国际营销学、</w:t>
      </w:r>
      <w:r>
        <w:rPr>
          <w:rFonts w:hint="eastAsia" w:ascii="宋体" w:hAnsi="宋体" w:cs="宋体"/>
          <w:kern w:val="0"/>
          <w:sz w:val="24"/>
          <w:szCs w:val="24"/>
          <w:lang w:val="en-US" w:eastAsia="zh-CN"/>
        </w:rPr>
        <w:t>大</w:t>
      </w:r>
      <w:r>
        <w:rPr>
          <w:rFonts w:hint="eastAsia" w:ascii="宋体" w:hAnsi="宋体"/>
          <w:sz w:val="24"/>
          <w:szCs w:val="24"/>
          <w:lang w:val="en-US" w:eastAsia="zh-CN"/>
        </w:rPr>
        <w:t>数据分析与R软件</w:t>
      </w:r>
      <w:r>
        <w:rPr>
          <w:rFonts w:hint="eastAsia" w:ascii="宋体" w:hAnsi="宋体"/>
          <w:sz w:val="24"/>
          <w:szCs w:val="24"/>
        </w:rPr>
        <w:t>、</w:t>
      </w:r>
      <w:r>
        <w:rPr>
          <w:rFonts w:hint="eastAsia" w:ascii="宋体" w:hAnsi="宋体"/>
          <w:sz w:val="24"/>
          <w:szCs w:val="24"/>
          <w:lang w:val="en-US" w:eastAsia="zh-CN"/>
        </w:rPr>
        <w:t>商务智能、人工智能与机器学习、中国对外贸易专题、</w:t>
      </w:r>
      <w:r>
        <w:rPr>
          <w:rFonts w:hint="eastAsia" w:ascii="宋体" w:hAnsi="宋体" w:cs="宋体"/>
          <w:kern w:val="0"/>
          <w:sz w:val="24"/>
          <w:szCs w:val="24"/>
        </w:rPr>
        <w:t>世界经济学、国际经济学前沿问题研究、现代金融理论、专业英语、跨</w:t>
      </w:r>
      <w:r>
        <w:rPr>
          <w:rFonts w:hint="eastAsia" w:ascii="宋体" w:hAnsi="宋体" w:cs="宋体"/>
          <w:kern w:val="0"/>
          <w:sz w:val="24"/>
          <w:szCs w:val="24"/>
          <w:lang w:val="en-US" w:eastAsia="zh-CN"/>
        </w:rPr>
        <w:t>境</w:t>
      </w:r>
      <w:r>
        <w:rPr>
          <w:rFonts w:hint="eastAsia" w:ascii="宋体" w:hAnsi="宋体" w:cs="宋体"/>
          <w:kern w:val="0"/>
          <w:sz w:val="24"/>
          <w:szCs w:val="24"/>
        </w:rPr>
        <w:t>电子商务</w:t>
      </w:r>
      <w:r>
        <w:rPr>
          <w:rFonts w:hint="eastAsia" w:ascii="宋体" w:hAnsi="宋体" w:cs="宋体"/>
          <w:kern w:val="0"/>
          <w:sz w:val="24"/>
          <w:szCs w:val="24"/>
          <w:lang w:val="en-US" w:eastAsia="zh-CN"/>
        </w:rPr>
        <w:t>等</w:t>
      </w:r>
      <w:r>
        <w:rPr>
          <w:rFonts w:hint="eastAsia" w:ascii="宋体" w:hAnsi="宋体" w:cs="宋体"/>
          <w:kern w:val="0"/>
          <w:sz w:val="24"/>
          <w:szCs w:val="24"/>
        </w:rPr>
        <w:t>。</w:t>
      </w:r>
    </w:p>
    <w:p w14:paraId="1E37E753">
      <w:pPr>
        <w:widowControl/>
        <w:adjustRightInd w:val="0"/>
        <w:snapToGrid w:val="0"/>
        <w:rPr>
          <w:rFonts w:hint="eastAsia" w:ascii="宋体" w:hAnsi="宋体" w:cs="宋体"/>
          <w:kern w:val="0"/>
          <w:szCs w:val="21"/>
        </w:rPr>
      </w:pPr>
      <w:r>
        <w:rPr>
          <w:rFonts w:hint="eastAsia" w:ascii="宋体" w:hAnsi="宋体" w:cs="宋体"/>
          <w:kern w:val="0"/>
          <w:szCs w:val="21"/>
        </w:rPr>
        <w:t> </w:t>
      </w:r>
    </w:p>
    <w:p w14:paraId="4045929A">
      <w:pPr>
        <w:widowControl/>
        <w:adjustRightInd w:val="0"/>
        <w:snapToGrid w:val="0"/>
        <w:rPr>
          <w:rFonts w:hint="eastAsia" w:ascii="宋体" w:hAnsi="宋体" w:cs="宋体"/>
          <w:kern w:val="0"/>
          <w:sz w:val="24"/>
        </w:rPr>
      </w:pPr>
      <w:r>
        <w:rPr>
          <w:rFonts w:hint="eastAsia" w:ascii="宋体" w:hAnsi="宋体" w:cs="宋体"/>
          <w:b/>
          <w:bCs/>
          <w:kern w:val="0"/>
          <w:sz w:val="24"/>
        </w:rPr>
        <w:t>就业方向：</w:t>
      </w:r>
      <w:r>
        <w:rPr>
          <w:rFonts w:hint="eastAsia" w:ascii="宋体" w:hAnsi="宋体" w:cs="宋体"/>
          <w:kern w:val="0"/>
          <w:sz w:val="24"/>
        </w:rPr>
        <w:t>政府机关、高等院校、科研机构、各类公司；还可进一步报考相关学科门类的博士研究生，继续求学深造。</w:t>
      </w:r>
    </w:p>
    <w:p w14:paraId="75C417F5">
      <w:pPr>
        <w:widowControl/>
        <w:adjustRightInd w:val="0"/>
        <w:snapToGrid w:val="0"/>
        <w:ind w:firstLine="241" w:firstLineChars="100"/>
        <w:jc w:val="center"/>
        <w:rPr>
          <w:rFonts w:hint="eastAsia" w:ascii="宋体" w:hAnsi="宋体" w:cs="宋体"/>
          <w:b/>
          <w:sz w:val="24"/>
        </w:rPr>
      </w:pPr>
      <w:r>
        <w:rPr>
          <w:rFonts w:hint="eastAsia" w:ascii="宋体" w:hAnsi="宋体" w:cs="宋体"/>
          <w:b/>
          <w:bCs/>
          <w:kern w:val="0"/>
          <w:sz w:val="24"/>
        </w:rPr>
        <w:t>专业代码：</w:t>
      </w:r>
      <w:r>
        <w:rPr>
          <w:rFonts w:hint="eastAsia" w:ascii="宋体" w:hAnsi="宋体" w:cs="宋体"/>
          <w:b/>
          <w:sz w:val="24"/>
        </w:rPr>
        <w:t>020206</w:t>
      </w:r>
      <w:r>
        <w:rPr>
          <w:rFonts w:hint="eastAsia" w:ascii="宋体" w:hAnsi="宋体" w:cs="宋体"/>
          <w:b/>
          <w:bCs/>
          <w:kern w:val="0"/>
          <w:sz w:val="24"/>
        </w:rPr>
        <w:t xml:space="preserve">                        </w:t>
      </w:r>
      <w:r>
        <w:rPr>
          <w:rFonts w:hint="eastAsia" w:ascii="宋体" w:hAnsi="宋体" w:cs="宋体"/>
          <w:b/>
          <w:sz w:val="24"/>
        </w:rPr>
        <w:t>咨询电话：020-84261737</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14"/>
        <w:gridCol w:w="2962"/>
        <w:gridCol w:w="1948"/>
      </w:tblGrid>
      <w:tr w14:paraId="721C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315C36F">
            <w:pPr>
              <w:adjustRightInd w:val="0"/>
              <w:snapToGrid w:val="0"/>
              <w:jc w:val="center"/>
              <w:rPr>
                <w:rFonts w:hint="eastAsia" w:ascii="宋体" w:hAnsi="宋体" w:cs="宋体"/>
                <w:b/>
                <w:sz w:val="24"/>
              </w:rPr>
            </w:pPr>
            <w:r>
              <w:rPr>
                <w:rFonts w:hint="eastAsia" w:ascii="宋体" w:hAnsi="宋体" w:cs="宋体"/>
                <w:b/>
                <w:sz w:val="24"/>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34AB207B">
            <w:pPr>
              <w:adjustRightInd w:val="0"/>
              <w:snapToGrid w:val="0"/>
              <w:jc w:val="center"/>
              <w:rPr>
                <w:rFonts w:hint="eastAsia" w:ascii="宋体" w:hAnsi="宋体" w:cs="宋体"/>
                <w:b/>
                <w:sz w:val="24"/>
              </w:rPr>
            </w:pPr>
            <w:r>
              <w:rPr>
                <w:rFonts w:hint="eastAsia" w:ascii="宋体" w:hAnsi="宋体" w:cs="宋体"/>
                <w:b/>
                <w:sz w:val="24"/>
              </w:rPr>
              <w:t>研究方向</w:t>
            </w:r>
          </w:p>
        </w:tc>
        <w:tc>
          <w:tcPr>
            <w:tcW w:w="2962" w:type="dxa"/>
            <w:tcBorders>
              <w:top w:val="single" w:color="auto" w:sz="4" w:space="0"/>
              <w:left w:val="single" w:color="auto" w:sz="4" w:space="0"/>
              <w:bottom w:val="single" w:color="auto" w:sz="4" w:space="0"/>
              <w:right w:val="single" w:color="auto" w:sz="4" w:space="0"/>
            </w:tcBorders>
            <w:noWrap w:val="0"/>
            <w:vAlign w:val="center"/>
          </w:tcPr>
          <w:p w14:paraId="464C20EC">
            <w:pPr>
              <w:adjustRightInd w:val="0"/>
              <w:snapToGrid w:val="0"/>
              <w:jc w:val="center"/>
              <w:rPr>
                <w:rFonts w:hint="eastAsia" w:ascii="宋体" w:hAnsi="宋体" w:cs="宋体"/>
                <w:b/>
                <w:sz w:val="24"/>
              </w:rPr>
            </w:pPr>
            <w:r>
              <w:rPr>
                <w:rFonts w:hint="eastAsia" w:ascii="宋体" w:hAnsi="宋体" w:cs="宋体"/>
                <w:b/>
                <w:sz w:val="24"/>
              </w:rPr>
              <w:t>初试科目</w:t>
            </w:r>
          </w:p>
        </w:tc>
        <w:tc>
          <w:tcPr>
            <w:tcW w:w="1948" w:type="dxa"/>
            <w:tcBorders>
              <w:top w:val="single" w:color="auto" w:sz="4" w:space="0"/>
              <w:left w:val="single" w:color="auto" w:sz="4" w:space="0"/>
              <w:bottom w:val="single" w:color="auto" w:sz="4" w:space="0"/>
              <w:right w:val="single" w:color="auto" w:sz="4" w:space="0"/>
            </w:tcBorders>
            <w:noWrap w:val="0"/>
            <w:vAlign w:val="center"/>
          </w:tcPr>
          <w:p w14:paraId="130D5D6A">
            <w:pPr>
              <w:adjustRightInd w:val="0"/>
              <w:snapToGrid w:val="0"/>
              <w:jc w:val="center"/>
              <w:rPr>
                <w:rFonts w:hint="eastAsia" w:ascii="宋体" w:hAnsi="宋体" w:cs="宋体"/>
                <w:b/>
                <w:sz w:val="24"/>
              </w:rPr>
            </w:pPr>
            <w:r>
              <w:rPr>
                <w:rFonts w:hint="eastAsia" w:ascii="宋体" w:hAnsi="宋体" w:cs="宋体"/>
                <w:b/>
                <w:sz w:val="24"/>
              </w:rPr>
              <w:t>复试科目</w:t>
            </w:r>
          </w:p>
        </w:tc>
      </w:tr>
      <w:tr w14:paraId="31F9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8EF39A7">
            <w:pPr>
              <w:adjustRightInd w:val="0"/>
              <w:snapToGrid w:val="0"/>
              <w:jc w:val="center"/>
              <w:rPr>
                <w:rFonts w:hint="eastAsia" w:ascii="宋体" w:hAnsi="宋体" w:cs="宋体"/>
                <w:sz w:val="24"/>
              </w:rPr>
            </w:pPr>
            <w:r>
              <w:rPr>
                <w:rFonts w:hint="eastAsia" w:ascii="宋体" w:hAnsi="宋体" w:cs="宋体"/>
                <w:sz w:val="24"/>
              </w:rPr>
              <w:t>1</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55080715">
            <w:pPr>
              <w:adjustRightInd w:val="0"/>
              <w:snapToGrid w:val="0"/>
              <w:rPr>
                <w:rFonts w:hint="eastAsia" w:ascii="宋体" w:hAnsi="宋体" w:cs="宋体"/>
                <w:sz w:val="24"/>
              </w:rPr>
            </w:pPr>
            <w:r>
              <w:rPr>
                <w:rFonts w:hint="eastAsia" w:ascii="宋体" w:hAnsi="宋体" w:cs="宋体"/>
                <w:sz w:val="24"/>
              </w:rPr>
              <w:t>国际贸易理论与政策</w:t>
            </w:r>
          </w:p>
        </w:tc>
        <w:tc>
          <w:tcPr>
            <w:tcW w:w="2962" w:type="dxa"/>
            <w:vMerge w:val="restart"/>
            <w:tcBorders>
              <w:top w:val="single" w:color="auto" w:sz="4" w:space="0"/>
              <w:left w:val="single" w:color="auto" w:sz="4" w:space="0"/>
              <w:right w:val="single" w:color="auto" w:sz="4" w:space="0"/>
            </w:tcBorders>
            <w:noWrap w:val="0"/>
            <w:vAlign w:val="center"/>
          </w:tcPr>
          <w:p w14:paraId="18A989E6">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14:paraId="26016C6D">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14:paraId="015D632E">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14:paraId="2E59B9C7">
            <w:pPr>
              <w:adjustRightInd w:val="0"/>
              <w:snapToGrid w:val="0"/>
              <w:rPr>
                <w:rFonts w:hint="eastAsia" w:ascii="宋体" w:hAnsi="宋体" w:cs="宋体"/>
                <w:sz w:val="24"/>
              </w:rPr>
            </w:pPr>
            <w:r>
              <w:rPr>
                <w:rFonts w:hint="eastAsia" w:ascii="宋体" w:hAnsi="宋体" w:cs="宋体"/>
                <w:color w:val="000000"/>
                <w:sz w:val="24"/>
              </w:rPr>
              <w:t>（4）经济学基础（150分）</w:t>
            </w:r>
          </w:p>
        </w:tc>
        <w:tc>
          <w:tcPr>
            <w:tcW w:w="1948" w:type="dxa"/>
            <w:vMerge w:val="restart"/>
            <w:tcBorders>
              <w:top w:val="single" w:color="auto" w:sz="4" w:space="0"/>
              <w:left w:val="single" w:color="auto" w:sz="4" w:space="0"/>
              <w:right w:val="single" w:color="auto" w:sz="4" w:space="0"/>
            </w:tcBorders>
            <w:noWrap w:val="0"/>
            <w:vAlign w:val="center"/>
          </w:tcPr>
          <w:p w14:paraId="724F3BC0">
            <w:pPr>
              <w:adjustRightInd w:val="0"/>
              <w:snapToGrid w:val="0"/>
              <w:jc w:val="left"/>
              <w:rPr>
                <w:rFonts w:hint="eastAsia" w:ascii="宋体" w:hAnsi="宋体" w:cs="宋体"/>
                <w:sz w:val="24"/>
              </w:rPr>
            </w:pPr>
            <w:r>
              <w:rPr>
                <w:rFonts w:hint="eastAsia" w:ascii="宋体" w:hAnsi="宋体" w:cs="宋体"/>
                <w:sz w:val="24"/>
              </w:rPr>
              <w:t>F507-国际经济学[含国际贸易实务](100分)</w:t>
            </w:r>
          </w:p>
        </w:tc>
      </w:tr>
      <w:tr w14:paraId="0FFB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257B756">
            <w:pPr>
              <w:adjustRightInd w:val="0"/>
              <w:snapToGrid w:val="0"/>
              <w:jc w:val="center"/>
              <w:rPr>
                <w:rFonts w:hint="eastAsia" w:ascii="宋体" w:hAnsi="宋体" w:cs="宋体"/>
                <w:sz w:val="24"/>
              </w:rPr>
            </w:pPr>
            <w:r>
              <w:rPr>
                <w:rFonts w:hint="eastAsia" w:ascii="宋体" w:hAnsi="宋体" w:cs="宋体"/>
                <w:sz w:val="24"/>
              </w:rPr>
              <w:t>2</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27C1FBFC">
            <w:pPr>
              <w:adjustRightInd w:val="0"/>
              <w:snapToGrid w:val="0"/>
              <w:rPr>
                <w:rFonts w:hint="eastAsia" w:ascii="宋体" w:hAnsi="宋体" w:cs="宋体"/>
                <w:sz w:val="24"/>
              </w:rPr>
            </w:pPr>
            <w:r>
              <w:rPr>
                <w:rFonts w:hint="eastAsia" w:ascii="宋体" w:hAnsi="宋体" w:cs="宋体"/>
                <w:sz w:val="24"/>
              </w:rPr>
              <w:t>国际贸易与投资一体化</w:t>
            </w:r>
          </w:p>
        </w:tc>
        <w:tc>
          <w:tcPr>
            <w:tcW w:w="2962" w:type="dxa"/>
            <w:vMerge w:val="continue"/>
            <w:tcBorders>
              <w:left w:val="single" w:color="auto" w:sz="4" w:space="0"/>
              <w:right w:val="single" w:color="auto" w:sz="4" w:space="0"/>
            </w:tcBorders>
            <w:noWrap w:val="0"/>
            <w:vAlign w:val="center"/>
          </w:tcPr>
          <w:p w14:paraId="00BC35CE">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14:paraId="7A915CC3">
            <w:pPr>
              <w:widowControl/>
              <w:adjustRightInd w:val="0"/>
              <w:snapToGrid w:val="0"/>
              <w:rPr>
                <w:rFonts w:hint="eastAsia" w:ascii="宋体" w:hAnsi="宋体" w:cs="宋体"/>
                <w:sz w:val="24"/>
              </w:rPr>
            </w:pPr>
          </w:p>
        </w:tc>
      </w:tr>
      <w:tr w14:paraId="35A7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46F9265">
            <w:pPr>
              <w:adjustRightInd w:val="0"/>
              <w:snapToGrid w:val="0"/>
              <w:jc w:val="center"/>
              <w:rPr>
                <w:rFonts w:hint="eastAsia" w:ascii="宋体" w:hAnsi="宋体" w:cs="宋体"/>
                <w:sz w:val="24"/>
              </w:rPr>
            </w:pPr>
            <w:r>
              <w:rPr>
                <w:rFonts w:hint="eastAsia" w:ascii="宋体" w:hAnsi="宋体" w:cs="宋体"/>
                <w:sz w:val="24"/>
              </w:rPr>
              <w:t>3</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552C735C">
            <w:pPr>
              <w:adjustRightInd w:val="0"/>
              <w:snapToGrid w:val="0"/>
              <w:rPr>
                <w:rFonts w:hint="eastAsia" w:ascii="宋体" w:hAnsi="宋体" w:cs="宋体"/>
                <w:sz w:val="24"/>
              </w:rPr>
            </w:pPr>
            <w:r>
              <w:rPr>
                <w:rFonts w:hint="eastAsia" w:ascii="宋体" w:hAnsi="宋体"/>
                <w:color w:val="000000"/>
                <w:sz w:val="24"/>
              </w:rPr>
              <w:t>大数据与跨境电子商务</w:t>
            </w:r>
          </w:p>
        </w:tc>
        <w:tc>
          <w:tcPr>
            <w:tcW w:w="2962" w:type="dxa"/>
            <w:vMerge w:val="continue"/>
            <w:tcBorders>
              <w:left w:val="single" w:color="auto" w:sz="4" w:space="0"/>
              <w:right w:val="single" w:color="auto" w:sz="4" w:space="0"/>
            </w:tcBorders>
            <w:noWrap w:val="0"/>
            <w:vAlign w:val="center"/>
          </w:tcPr>
          <w:p w14:paraId="62A3BD80">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14:paraId="4EE9D1F0">
            <w:pPr>
              <w:widowControl/>
              <w:adjustRightInd w:val="0"/>
              <w:snapToGrid w:val="0"/>
              <w:rPr>
                <w:rFonts w:hint="eastAsia" w:ascii="宋体" w:hAnsi="宋体" w:cs="宋体"/>
                <w:sz w:val="24"/>
              </w:rPr>
            </w:pPr>
          </w:p>
        </w:tc>
      </w:tr>
      <w:tr w14:paraId="5ECA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65AFB84">
            <w:pPr>
              <w:adjustRightInd w:val="0"/>
              <w:snapToGrid w:val="0"/>
              <w:jc w:val="center"/>
              <w:rPr>
                <w:rFonts w:hint="eastAsia" w:ascii="宋体" w:hAnsi="宋体" w:cs="宋体"/>
                <w:sz w:val="24"/>
              </w:rPr>
            </w:pPr>
            <w:r>
              <w:rPr>
                <w:rFonts w:hint="eastAsia" w:ascii="宋体" w:hAnsi="宋体" w:cs="宋体"/>
                <w:sz w:val="24"/>
              </w:rPr>
              <w:t>4</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23B2AF5B">
            <w:pPr>
              <w:adjustRightInd w:val="0"/>
              <w:snapToGrid w:val="0"/>
              <w:ind w:firstLine="480" w:firstLineChars="200"/>
              <w:rPr>
                <w:rFonts w:hint="eastAsia" w:ascii="宋体" w:hAnsi="宋体"/>
                <w:color w:val="000000"/>
                <w:sz w:val="24"/>
              </w:rPr>
            </w:pPr>
            <w:r>
              <w:rPr>
                <w:rFonts w:hint="eastAsia" w:ascii="宋体" w:hAnsi="宋体"/>
                <w:color w:val="000000"/>
                <w:sz w:val="24"/>
              </w:rPr>
              <w:t>数字贸易</w:t>
            </w:r>
          </w:p>
        </w:tc>
        <w:tc>
          <w:tcPr>
            <w:tcW w:w="2962" w:type="dxa"/>
            <w:vMerge w:val="continue"/>
            <w:tcBorders>
              <w:left w:val="single" w:color="auto" w:sz="4" w:space="0"/>
              <w:bottom w:val="single" w:color="auto" w:sz="4" w:space="0"/>
              <w:right w:val="single" w:color="auto" w:sz="4" w:space="0"/>
            </w:tcBorders>
            <w:noWrap w:val="0"/>
            <w:vAlign w:val="center"/>
          </w:tcPr>
          <w:p w14:paraId="48EF9202">
            <w:pPr>
              <w:widowControl/>
              <w:adjustRightInd w:val="0"/>
              <w:snapToGrid w:val="0"/>
              <w:rPr>
                <w:rFonts w:hint="eastAsia" w:ascii="宋体" w:hAnsi="宋体" w:cs="宋体"/>
                <w:sz w:val="24"/>
              </w:rPr>
            </w:pPr>
          </w:p>
        </w:tc>
        <w:tc>
          <w:tcPr>
            <w:tcW w:w="1948" w:type="dxa"/>
            <w:vMerge w:val="continue"/>
            <w:tcBorders>
              <w:left w:val="single" w:color="auto" w:sz="4" w:space="0"/>
              <w:bottom w:val="single" w:color="auto" w:sz="4" w:space="0"/>
              <w:right w:val="single" w:color="auto" w:sz="4" w:space="0"/>
            </w:tcBorders>
            <w:noWrap w:val="0"/>
            <w:vAlign w:val="center"/>
          </w:tcPr>
          <w:p w14:paraId="0F9C1B93">
            <w:pPr>
              <w:widowControl/>
              <w:adjustRightInd w:val="0"/>
              <w:snapToGrid w:val="0"/>
              <w:rPr>
                <w:rFonts w:hint="eastAsia" w:ascii="宋体" w:hAnsi="宋体" w:cs="宋体"/>
                <w:sz w:val="24"/>
              </w:rPr>
            </w:pPr>
          </w:p>
        </w:tc>
      </w:tr>
    </w:tbl>
    <w:p w14:paraId="79FBC828">
      <w:pPr>
        <w:adjustRightInd w:val="0"/>
        <w:snapToGrid w:val="0"/>
        <w:rPr>
          <w:rFonts w:hint="eastAsia" w:ascii="宋体" w:hAnsi="宋体" w:cs="宋体"/>
          <w:b/>
          <w:sz w:val="24"/>
        </w:rPr>
      </w:pPr>
      <w:r>
        <w:rPr>
          <w:rFonts w:hint="eastAsia" w:ascii="宋体" w:hAnsi="宋体" w:cs="宋体"/>
          <w:b/>
          <w:bCs/>
          <w:sz w:val="24"/>
        </w:rPr>
        <w:t>▲</w:t>
      </w:r>
      <w:r>
        <w:rPr>
          <w:rFonts w:hint="eastAsia" w:ascii="宋体" w:hAnsi="宋体" w:cs="宋体"/>
          <w:b/>
          <w:sz w:val="24"/>
        </w:rPr>
        <w:t>表示统考科目或联考科目，考试题型、考试大纲以教育部公布为准。其他为自命题科目。</w:t>
      </w:r>
    </w:p>
    <w:p w14:paraId="4D6A3C27">
      <w:pPr>
        <w:widowControl/>
        <w:adjustRightInd w:val="0"/>
        <w:snapToGrid w:val="0"/>
        <w:rPr>
          <w:rFonts w:hint="eastAsia" w:ascii="宋体" w:hAnsi="宋体" w:cs="宋体"/>
          <w:b/>
          <w:bCs/>
          <w:kern w:val="0"/>
          <w:sz w:val="24"/>
        </w:rPr>
      </w:pPr>
    </w:p>
    <w:p w14:paraId="28419FB9">
      <w:pPr>
        <w:adjustRightInd w:val="0"/>
        <w:snapToGrid w:val="0"/>
        <w:rPr>
          <w:rFonts w:hint="eastAsia" w:ascii="宋体" w:hAnsi="宋体" w:cs="宋体"/>
          <w:b/>
          <w:sz w:val="24"/>
        </w:rPr>
      </w:pPr>
      <w:r>
        <w:rPr>
          <w:rFonts w:hint="eastAsia" w:ascii="宋体" w:hAnsi="宋体" w:cs="宋体"/>
          <w:b/>
          <w:sz w:val="24"/>
        </w:rPr>
        <w:t>考试题型及相应分值：</w:t>
      </w:r>
    </w:p>
    <w:p w14:paraId="53BCB0DB">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14:paraId="0C9CBA8D">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（1）名词解释（6题，每题5分，共30分）</w:t>
      </w:r>
    </w:p>
    <w:p w14:paraId="2865EDFA">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（2）简答题（6题，每题10分，共60分）</w:t>
      </w:r>
    </w:p>
    <w:p w14:paraId="46F848A6">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（3）论述题（2题，每题30分，共60分）</w:t>
      </w:r>
    </w:p>
    <w:p w14:paraId="0B0E90C6">
      <w:pPr>
        <w:shd w:val="solid" w:color="FFFFFF" w:fill="auto"/>
        <w:autoSpaceDN w:val="0"/>
        <w:adjustRightInd w:val="0"/>
        <w:snapToGrid w:val="0"/>
        <w:rPr>
          <w:rFonts w:hint="eastAsia" w:ascii="宋体" w:hAnsi="宋体" w:cs="宋体"/>
          <w:kern w:val="0"/>
          <w:sz w:val="24"/>
        </w:rPr>
      </w:pPr>
      <w:r>
        <w:rPr>
          <w:rFonts w:hint="eastAsia" w:ascii="宋体" w:hAnsi="宋体" w:cs="宋体"/>
          <w:color w:val="000000"/>
          <w:sz w:val="24"/>
          <w:shd w:val="clear" w:color="auto" w:fill="FFFFFF"/>
        </w:rPr>
        <w:t>参考书目：高鸿业：《西方经济学(宏/微观)》第7版 ，中国人民大学出版社2018年</w:t>
      </w:r>
    </w:p>
    <w:p w14:paraId="0897E325">
      <w:pPr>
        <w:widowControl/>
        <w:adjustRightInd w:val="0"/>
        <w:snapToGrid w:val="0"/>
        <w:rPr>
          <w:rFonts w:hint="eastAsia" w:ascii="宋体" w:hAnsi="宋体" w:cs="宋体"/>
          <w:b/>
          <w:kern w:val="0"/>
          <w:sz w:val="24"/>
          <w:szCs w:val="20"/>
        </w:rPr>
      </w:pPr>
    </w:p>
    <w:p w14:paraId="0F9F7DBB">
      <w:pPr>
        <w:widowControl/>
        <w:adjustRightInd w:val="0"/>
        <w:snapToGrid w:val="0"/>
        <w:rPr>
          <w:rFonts w:hint="eastAsia" w:ascii="宋体" w:hAnsi="宋体" w:cs="宋体"/>
          <w:b/>
          <w:kern w:val="0"/>
          <w:sz w:val="24"/>
          <w:szCs w:val="20"/>
        </w:rPr>
      </w:pPr>
      <w:r>
        <w:rPr>
          <w:rFonts w:hint="eastAsia" w:ascii="宋体" w:hAnsi="宋体" w:cs="宋体"/>
          <w:b/>
          <w:kern w:val="0"/>
          <w:sz w:val="24"/>
          <w:szCs w:val="20"/>
        </w:rPr>
        <w:t>《国际经济学[含国际贸易实务]》</w:t>
      </w:r>
    </w:p>
    <w:p w14:paraId="7224140C">
      <w:pPr>
        <w:widowControl/>
        <w:adjustRightInd w:val="0"/>
        <w:snapToGrid w:val="0"/>
        <w:rPr>
          <w:rFonts w:hint="eastAsia" w:ascii="宋体" w:hAnsi="宋体" w:cs="宋体"/>
          <w:kern w:val="0"/>
          <w:sz w:val="24"/>
        </w:rPr>
      </w:pPr>
      <w:r>
        <w:rPr>
          <w:rFonts w:hint="eastAsia" w:ascii="宋体" w:hAnsi="宋体" w:cs="宋体"/>
          <w:kern w:val="0"/>
          <w:sz w:val="24"/>
        </w:rPr>
        <w:t xml:space="preserve">（1）问答题（5题，每题10分，共50分） </w:t>
      </w:r>
    </w:p>
    <w:p w14:paraId="6E9AE7EE">
      <w:pPr>
        <w:widowControl/>
        <w:adjustRightInd w:val="0"/>
        <w:snapToGrid w:val="0"/>
        <w:rPr>
          <w:rFonts w:hint="eastAsia" w:ascii="宋体" w:hAnsi="宋体" w:cs="宋体"/>
          <w:kern w:val="0"/>
          <w:sz w:val="24"/>
        </w:rPr>
      </w:pPr>
      <w:r>
        <w:rPr>
          <w:rFonts w:hint="eastAsia" w:ascii="宋体" w:hAnsi="宋体" w:cs="宋体"/>
          <w:kern w:val="0"/>
          <w:sz w:val="24"/>
        </w:rPr>
        <w:t>（2）论述题（2题，每题25分，共50分）</w:t>
      </w:r>
    </w:p>
    <w:p w14:paraId="5EFCCDAD">
      <w:pPr>
        <w:widowControl/>
        <w:adjustRightInd w:val="0"/>
        <w:snapToGrid w:val="0"/>
        <w:rPr>
          <w:rFonts w:hint="eastAsia" w:ascii="宋体" w:hAnsi="宋体" w:cs="宋体"/>
          <w:color w:val="000000"/>
          <w:sz w:val="24"/>
          <w:shd w:val="clear" w:color="auto" w:fill="FFFFFF"/>
        </w:rPr>
      </w:pPr>
      <w:r>
        <w:rPr>
          <w:rFonts w:hint="eastAsia" w:ascii="宋体" w:hAnsi="宋体" w:cs="宋体"/>
          <w:kern w:val="0"/>
          <w:sz w:val="24"/>
        </w:rPr>
        <w:t xml:space="preserve"> </w:t>
      </w:r>
      <w:r>
        <w:rPr>
          <w:rFonts w:hint="eastAsia" w:ascii="宋体" w:hAnsi="宋体" w:cs="宋体"/>
          <w:color w:val="000000"/>
          <w:sz w:val="24"/>
          <w:shd w:val="clear" w:color="auto" w:fill="FFFFFF"/>
        </w:rPr>
        <w:t>参考书目：</w:t>
      </w:r>
    </w:p>
    <w:p w14:paraId="76993F21">
      <w:pPr>
        <w:widowControl/>
        <w:numPr>
          <w:ilvl w:val="0"/>
          <w:numId w:val="1"/>
        </w:numPr>
        <w:adjustRightInd w:val="0"/>
        <w:snapToGrid w:val="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rPr>
        <w:t>罗伯特·J.凯伯</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eastAsia="zh-CN"/>
        </w:rPr>
        <w:t>国际经济学</w:t>
      </w: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eastAsia="zh-CN"/>
        </w:rPr>
        <w:t>第18版 中国人民大学出版社，</w:t>
      </w:r>
      <w:r>
        <w:rPr>
          <w:rFonts w:hint="eastAsia" w:ascii="宋体" w:hAnsi="宋体" w:cs="宋体"/>
          <w:color w:val="000000"/>
          <w:sz w:val="24"/>
          <w:shd w:val="clear" w:color="auto" w:fill="FFFFFF"/>
          <w:lang w:val="en-US" w:eastAsia="zh-CN"/>
        </w:rPr>
        <w:t>2024年。</w:t>
      </w:r>
    </w:p>
    <w:p w14:paraId="0DB82ACF">
      <w:pPr>
        <w:widowControl/>
        <w:numPr>
          <w:ilvl w:val="0"/>
          <w:numId w:val="1"/>
        </w:numPr>
        <w:adjustRightInd w:val="0"/>
        <w:snapToGrid w:val="0"/>
        <w:rPr>
          <w:rFonts w:hint="default" w:ascii="宋体" w:hAnsi="宋体" w:cs="宋体"/>
          <w:color w:val="000000"/>
          <w:sz w:val="24"/>
          <w:shd w:val="clear" w:color="auto" w:fill="FFFFFF"/>
          <w:lang w:val="en-US" w:eastAsia="zh-CN"/>
        </w:rPr>
      </w:pPr>
      <w:r>
        <w:rPr>
          <w:rFonts w:hint="default" w:ascii="宋体" w:hAnsi="宋体" w:cs="宋体"/>
          <w:color w:val="000000"/>
          <w:sz w:val="24"/>
          <w:shd w:val="clear" w:color="auto" w:fill="FFFFFF"/>
          <w:lang w:val="en-US" w:eastAsia="zh-CN"/>
        </w:rPr>
        <w:t>余庆瑜</w:t>
      </w:r>
      <w:r>
        <w:rPr>
          <w:rFonts w:hint="eastAsia" w:ascii="宋体" w:hAnsi="宋体" w:cs="宋体"/>
          <w:color w:val="000000"/>
          <w:sz w:val="24"/>
          <w:shd w:val="clear" w:color="auto" w:fill="FFFFFF"/>
          <w:lang w:val="en-US" w:eastAsia="zh-CN"/>
        </w:rPr>
        <w:t>：国际贸易实务：原理与案例（第三版），</w:t>
      </w:r>
      <w:r>
        <w:rPr>
          <w:rFonts w:hint="eastAsia" w:ascii="宋体" w:hAnsi="宋体" w:cs="宋体"/>
          <w:color w:val="000000"/>
          <w:sz w:val="24"/>
          <w:shd w:val="clear" w:color="auto" w:fill="FFFFFF"/>
          <w:lang w:eastAsia="zh-CN"/>
        </w:rPr>
        <w:t>中国人民大学出版社，</w:t>
      </w:r>
      <w:r>
        <w:rPr>
          <w:rFonts w:hint="eastAsia" w:ascii="宋体" w:hAnsi="宋体" w:cs="宋体"/>
          <w:color w:val="000000"/>
          <w:sz w:val="24"/>
          <w:shd w:val="clear" w:color="auto" w:fill="FFFFFF"/>
          <w:lang w:val="en-US" w:eastAsia="zh-CN"/>
        </w:rPr>
        <w:t>2021年</w:t>
      </w:r>
    </w:p>
    <w:p w14:paraId="614B742D">
      <w:pPr>
        <w:adjustRightInd w:val="0"/>
        <w:snapToGrid w:val="0"/>
        <w:rPr>
          <w:rFonts w:hint="eastAsia" w:ascii="宋体" w:hAnsi="宋体" w:cs="宋体"/>
          <w:b/>
          <w:sz w:val="24"/>
        </w:rPr>
      </w:pPr>
    </w:p>
    <w:p w14:paraId="0A8FD3A4">
      <w:pPr>
        <w:adjustRightInd w:val="0"/>
        <w:snapToGrid w:val="0"/>
        <w:rPr>
          <w:rFonts w:hint="eastAsia" w:ascii="宋体" w:hAnsi="宋体" w:cs="宋体"/>
          <w:b/>
          <w:sz w:val="24"/>
        </w:rPr>
      </w:pPr>
      <w:r>
        <w:rPr>
          <w:rFonts w:hint="eastAsia" w:ascii="宋体" w:hAnsi="宋体" w:cs="宋体"/>
          <w:b/>
          <w:sz w:val="24"/>
        </w:rPr>
        <w:t>考试大纲</w:t>
      </w:r>
    </w:p>
    <w:p w14:paraId="72B4CC5A">
      <w:pPr>
        <w:widowControl/>
        <w:adjustRightInd w:val="0"/>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《经济学基础》</w:t>
      </w:r>
    </w:p>
    <w:p w14:paraId="660ED895">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14:paraId="40ADC778">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A8E875C">
      <w:pPr>
        <w:widowControl/>
        <w:adjustRightInd w:val="0"/>
        <w:snapToGrid w:val="0"/>
        <w:rPr>
          <w:rFonts w:ascii="宋体" w:hAnsi="宋体" w:cs="宋体"/>
          <w:b/>
          <w:bCs/>
          <w:color w:val="000000"/>
          <w:sz w:val="24"/>
          <w:shd w:val="clear" w:color="auto" w:fill="FFFFFF"/>
        </w:rPr>
      </w:pPr>
    </w:p>
    <w:p w14:paraId="60D97664">
      <w:pPr>
        <w:widowControl/>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2BF3C40F">
      <w:pPr>
        <w:widowControl/>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00A41809">
      <w:pPr>
        <w:numPr>
          <w:ilvl w:val="0"/>
          <w:numId w:val="2"/>
        </w:numPr>
        <w:shd w:val="solid" w:color="FFFFFF" w:fill="auto"/>
        <w:autoSpaceDN w:val="0"/>
        <w:adjustRightInd w:val="0"/>
        <w:snapToGrid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395EA021">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4D72F91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118E639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7BFF83F6">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5310C778">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0F5FE04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71D24315">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34FD3803">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03836AD7">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06FD568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4461381D">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2F4B39C6">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59897CD8">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4758E0A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75476401">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7A1697F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4FEA737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18B2E736">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171B0E1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4CAD63F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699FDA10">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36962E8D">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055F461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24473717">
      <w:pPr>
        <w:shd w:val="solid" w:color="FFFFFF" w:fill="auto"/>
        <w:autoSpaceDN w:val="0"/>
        <w:adjustRightInd w:val="0"/>
        <w:snapToGrid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5C19C18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12ABB4F6">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0F1436FC">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7B74688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13C8C6F7">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2FBB8EC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2F8FDEAD">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680CF3C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1628E40D">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7F33F76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517F1FD6">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1A7EE4C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4129D0BB">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066A474E">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050AF87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738B91C9">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7F6CF7C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6CB16B9F">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0B90571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331AC217">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24411627">
      <w:pPr>
        <w:shd w:val="solid" w:color="FFFFFF" w:fill="auto"/>
        <w:autoSpaceDN w:val="0"/>
        <w:adjustRightInd w:val="0"/>
        <w:snapToGrid w:val="0"/>
        <w:rPr>
          <w:rFonts w:hint="eastAsia" w:ascii="宋体" w:hAnsi="宋体" w:cs="宋体"/>
          <w:b/>
          <w:bCs/>
          <w:color w:val="000000"/>
          <w:sz w:val="24"/>
          <w:shd w:val="clear" w:color="auto" w:fill="FFFFFF"/>
        </w:rPr>
      </w:pPr>
    </w:p>
    <w:p w14:paraId="4EFD4720">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36130570">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75AB876A">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799181F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740D34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23C523E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2145D95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51008DB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0A45970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73F069F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05DC091B">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280440A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398C71D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60412C4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3EDBD8B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71014AFA">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7637D24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5B6AE40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61C9E1ED">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20C99A9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5004209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222AEBF1">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39A137D9">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46AED1AA">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06106B3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5A2248E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51873A86">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17E6F687">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111AB96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715782F5">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7FC45F4C">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4F565554">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4D53471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3FF06C2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4683E3F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73E7DFEC">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3793FED5">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3D4B764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4D12EF0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3675378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64BAB362">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65DB3C2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0A7AB0ED">
      <w:pPr>
        <w:shd w:val="solid" w:color="FFFFFF" w:fill="auto"/>
        <w:autoSpaceDN w:val="0"/>
        <w:adjustRightInd w:val="0"/>
        <w:snapToGrid w:val="0"/>
        <w:ind w:left="420"/>
        <w:rPr>
          <w:rFonts w:hint="eastAsia" w:ascii="宋体" w:hAnsi="宋体" w:cs="宋体"/>
          <w:color w:val="000000"/>
          <w:sz w:val="24"/>
          <w:shd w:val="clear" w:color="auto" w:fill="FFFFFF"/>
        </w:rPr>
      </w:pPr>
    </w:p>
    <w:p w14:paraId="07CE6E30">
      <w:pPr>
        <w:adjustRightInd w:val="0"/>
        <w:snapToGrid w:val="0"/>
        <w:rPr>
          <w:rFonts w:hint="eastAsia" w:ascii="宋体" w:hAnsi="宋体" w:cs="宋体"/>
          <w:b/>
          <w:color w:val="000000"/>
          <w:sz w:val="24"/>
        </w:rPr>
      </w:pPr>
    </w:p>
    <w:p w14:paraId="30E6656F">
      <w:pPr>
        <w:shd w:val="solid" w:color="FFFFFF" w:fill="auto"/>
        <w:autoSpaceDN w:val="0"/>
        <w:adjustRightInd w:val="0"/>
        <w:snapToGrid w:val="0"/>
        <w:ind w:firstLine="562"/>
        <w:jc w:val="center"/>
        <w:rPr>
          <w:rFonts w:hint="eastAsia" w:ascii="宋体" w:hAnsi="宋体" w:cs="宋体"/>
          <w:b/>
          <w:bCs/>
          <w:kern w:val="0"/>
          <w:sz w:val="32"/>
          <w:szCs w:val="32"/>
        </w:rPr>
      </w:pPr>
      <w:r>
        <w:rPr>
          <w:rFonts w:hint="eastAsia" w:ascii="黑体" w:hAnsi="黑体" w:eastAsia="黑体" w:cs="黑体"/>
          <w:b/>
          <w:bCs/>
          <w:kern w:val="0"/>
          <w:sz w:val="36"/>
          <w:szCs w:val="36"/>
        </w:rPr>
        <w:t>《国际经济学》</w:t>
      </w:r>
    </w:p>
    <w:p w14:paraId="2D41056C">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《国际经济学》考试大纲概述：</w:t>
      </w:r>
    </w:p>
    <w:p w14:paraId="04FA8B48">
      <w:pPr>
        <w:widowControl/>
        <w:adjustRightInd w:val="0"/>
        <w:snapToGrid w:val="0"/>
        <w:spacing w:before="156" w:beforeLines="50"/>
        <w:ind w:firstLine="480" w:firstLineChars="200"/>
        <w:rPr>
          <w:rFonts w:hint="eastAsia" w:ascii="宋体" w:hAnsi="宋体" w:cs="宋体"/>
          <w:kern w:val="0"/>
          <w:sz w:val="24"/>
        </w:rPr>
      </w:pPr>
      <w:r>
        <w:rPr>
          <w:rFonts w:hint="eastAsia" w:ascii="宋体" w:hAnsi="宋体" w:cs="宋体"/>
          <w:kern w:val="0"/>
          <w:sz w:val="24"/>
        </w:rPr>
        <w:t>国际经济学：微观国际经济学、宏观国际经济学、进出口贸易实务。考察学生对国际经济学的基本理论、基本政策及本学科学术动态的掌握程度；考察学生分析国际经济现实问题的方法和基本思路；注重对学生知识结构和学术功底的考察，考察学生综合运用国际贸易学、国际金融学等学科知识，分析、阐释国际经济现象以及相关文献的能力。</w:t>
      </w:r>
    </w:p>
    <w:p w14:paraId="3EFFCC75">
      <w:pPr>
        <w:widowControl/>
        <w:adjustRightInd w:val="0"/>
        <w:snapToGrid w:val="0"/>
        <w:spacing w:before="156" w:beforeLines="50"/>
        <w:ind w:firstLine="480" w:firstLineChars="200"/>
        <w:rPr>
          <w:rFonts w:hint="eastAsia" w:ascii="宋体" w:hAnsi="宋体" w:cs="宋体"/>
          <w:kern w:val="0"/>
          <w:sz w:val="24"/>
        </w:rPr>
      </w:pPr>
    </w:p>
    <w:p w14:paraId="6E83704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第1章 国际经济与全球化</w:t>
      </w:r>
    </w:p>
    <w:p w14:paraId="5D0D182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1.1 经济活动的全球化</w:t>
      </w:r>
    </w:p>
    <w:p w14:paraId="702E5CB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 全球化浪潮 </w:t>
      </w:r>
    </w:p>
    <w:p w14:paraId="5ED2578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对工人来说，国际贸易是机会还是威胁? </w:t>
      </w:r>
    </w:p>
    <w:p w14:paraId="2D59EF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全球化已走得太远了吗? </w:t>
      </w:r>
    </w:p>
    <w:p w14:paraId="3A0EF6F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41" w:firstLineChars="1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一</w:t>
      </w:r>
      <w:r>
        <w:rPr>
          <w:rFonts w:hint="eastAsia" w:asciiTheme="majorEastAsia" w:hAnsiTheme="majorEastAsia" w:eastAsiaTheme="majorEastAsia" w:cstheme="majorEastAsia"/>
          <w:b/>
          <w:bCs w:val="0"/>
          <w:kern w:val="0"/>
          <w:sz w:val="24"/>
          <w:szCs w:val="24"/>
        </w:rPr>
        <w:t>部分 国际贸易关系</w:t>
      </w:r>
    </w:p>
    <w:p w14:paraId="31FC9E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第2章 现代贸易理论的基础:比较优势</w:t>
      </w:r>
    </w:p>
    <w:p w14:paraId="50B238D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 现代贸易理论的发展历史 </w:t>
      </w:r>
    </w:p>
    <w:p w14:paraId="42551C4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2.2 生产可能性边界 </w:t>
      </w:r>
    </w:p>
    <w:p w14:paraId="104960D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2.3 成本不变条件下的贸易模式 </w:t>
      </w:r>
    </w:p>
    <w:p w14:paraId="0FFC9D2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2.4 不断变化的比较优势 </w:t>
      </w:r>
    </w:p>
    <w:p w14:paraId="6A28339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2.5 成本递增条件下的贸易模式 </w:t>
      </w:r>
    </w:p>
    <w:p w14:paraId="01CE3FB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2.6 贸易对工作机会的影响 </w:t>
      </w:r>
    </w:p>
    <w:p w14:paraId="09B95BC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2.7 比较优势的扩展:多种产品、多个国家 </w:t>
      </w:r>
    </w:p>
    <w:p w14:paraId="400245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2.8 要素流动性、退出障碍和贸易 </w:t>
      </w:r>
    </w:p>
    <w:p w14:paraId="1E75545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2.9 对比较优势原理的实证检验 </w:t>
      </w:r>
    </w:p>
    <w:p w14:paraId="708831C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2.10 自由贸易主张 </w:t>
      </w:r>
    </w:p>
    <w:p w14:paraId="143CEEA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2.11 比较优势与全球供应链:外包 </w:t>
      </w:r>
    </w:p>
    <w:p w14:paraId="37B765E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第3章 比较优势的来源</w:t>
      </w:r>
    </w:p>
    <w:p w14:paraId="66F9323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3.1 比较优势的来源:要素禀赋 </w:t>
      </w:r>
    </w:p>
    <w:p w14:paraId="52C222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3.2 规模经济和比较优势 </w:t>
      </w:r>
    </w:p>
    <w:p w14:paraId="5F1416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3.3 贸易基础之一:重叠需求 </w:t>
      </w:r>
    </w:p>
    <w:p w14:paraId="3A527FD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3.4 产业内贸易 </w:t>
      </w:r>
    </w:p>
    <w:p w14:paraId="1D5B039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3.5 技术作为比较优势的来源———产品生命周期理论 </w:t>
      </w:r>
    </w:p>
    <w:p w14:paraId="5923B94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3.6 动态比较优势:产业政策 </w:t>
      </w:r>
    </w:p>
    <w:p w14:paraId="6D9FCF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3.7 政府规制政策和比较优势 </w:t>
      </w:r>
    </w:p>
    <w:p w14:paraId="6531F9B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3.8 运输成本和比较优势 </w:t>
      </w:r>
    </w:p>
    <w:p w14:paraId="472D6A8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第4章 关 税</w:t>
      </w:r>
    </w:p>
    <w:p w14:paraId="65A2644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 关税的概念 </w:t>
      </w:r>
    </w:p>
    <w:p w14:paraId="3C29E70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4.2 关税的种类 </w:t>
      </w:r>
    </w:p>
    <w:p w14:paraId="25866E9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4.3 有效保护率 </w:t>
      </w:r>
    </w:p>
    <w:p w14:paraId="3DC6C1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4.4 关税升级 </w:t>
      </w:r>
    </w:p>
    <w:p w14:paraId="50515F0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4.5 外包和海外装配条款 </w:t>
      </w:r>
    </w:p>
    <w:p w14:paraId="0017C3E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4.6 摆脱进口关税:避税和逃税 </w:t>
      </w:r>
    </w:p>
    <w:p w14:paraId="222F2E3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4.7 缓征进口关税 </w:t>
      </w:r>
    </w:p>
    <w:p w14:paraId="028924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4.8 关税效应概述 </w:t>
      </w:r>
    </w:p>
    <w:p w14:paraId="083DB60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4.9 关税的福利效应:消费者剩余和生产者剩余 </w:t>
      </w:r>
    </w:p>
    <w:p w14:paraId="2D87E3A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4.10 关税的福利效应:小国模型 </w:t>
      </w:r>
    </w:p>
    <w:p w14:paraId="6BA2AC0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4.11 关税的福利效应:大国模型 </w:t>
      </w:r>
    </w:p>
    <w:p w14:paraId="5977A56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2</w:t>
      </w:r>
      <w:r>
        <w:rPr>
          <w:rFonts w:hint="eastAsia" w:asciiTheme="majorEastAsia" w:hAnsiTheme="majorEastAsia" w:eastAsiaTheme="majorEastAsia" w:cstheme="majorEastAsia"/>
          <w:b w:val="0"/>
          <w:bCs/>
          <w:kern w:val="0"/>
          <w:sz w:val="24"/>
          <w:szCs w:val="24"/>
        </w:rPr>
        <w:t xml:space="preserve"> 关税如何加重本国出口商的负担? </w:t>
      </w:r>
    </w:p>
    <w:p w14:paraId="55F5634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关税与穷人:累退性关税 </w:t>
      </w:r>
    </w:p>
    <w:p w14:paraId="61D6CF7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贸易限制论 </w:t>
      </w:r>
    </w:p>
    <w:p w14:paraId="56737E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5</w:t>
      </w:r>
      <w:r>
        <w:rPr>
          <w:rFonts w:hint="eastAsia" w:asciiTheme="majorEastAsia" w:hAnsiTheme="majorEastAsia" w:eastAsiaTheme="majorEastAsia" w:cstheme="majorEastAsia"/>
          <w:b w:val="0"/>
          <w:bCs/>
          <w:kern w:val="0"/>
          <w:sz w:val="24"/>
          <w:szCs w:val="24"/>
        </w:rPr>
        <w:t xml:space="preserve"> 保护主义的政治经济学 </w:t>
      </w:r>
    </w:p>
    <w:p w14:paraId="658FB7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第5章 非关税贸易壁垒</w:t>
      </w:r>
    </w:p>
    <w:p w14:paraId="761C95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5.1 绝对进口配额 </w:t>
      </w:r>
    </w:p>
    <w:p w14:paraId="43C0C1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5.2 关税—税率配额:双重关税 </w:t>
      </w:r>
    </w:p>
    <w:p w14:paraId="4244167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5.3 出口配额 </w:t>
      </w:r>
    </w:p>
    <w:p w14:paraId="3A63F06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5.4 本地成分规则 </w:t>
      </w:r>
    </w:p>
    <w:p w14:paraId="430D3D4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5.5 补贴 </w:t>
      </w:r>
    </w:p>
    <w:p w14:paraId="5D58D69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5.6 倾销 </w:t>
      </w:r>
    </w:p>
    <w:p w14:paraId="4AE556B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5.7 反倾销条例 </w:t>
      </w:r>
    </w:p>
    <w:p w14:paraId="144056E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5.8 反倾销法不公平吗? </w:t>
      </w:r>
    </w:p>
    <w:p w14:paraId="2480344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5.9 其他非关税贸易壁垒 </w:t>
      </w:r>
    </w:p>
    <w:p w14:paraId="67AFE8B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第6章 贸易法规与产业政策</w:t>
      </w:r>
    </w:p>
    <w:p w14:paraId="1F5C51C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1</w:t>
      </w:r>
      <w:r>
        <w:rPr>
          <w:rFonts w:hint="eastAsia" w:asciiTheme="majorEastAsia" w:hAnsiTheme="majorEastAsia" w:eastAsiaTheme="majorEastAsia" w:cstheme="majorEastAsia"/>
          <w:b w:val="0"/>
          <w:bCs/>
          <w:kern w:val="0"/>
          <w:sz w:val="24"/>
          <w:szCs w:val="24"/>
        </w:rPr>
        <w:t xml:space="preserve"> 《关税与贸易总协定》 </w:t>
      </w:r>
    </w:p>
    <w:p w14:paraId="7D1BB15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2</w:t>
      </w:r>
      <w:r>
        <w:rPr>
          <w:rFonts w:hint="eastAsia" w:asciiTheme="majorEastAsia" w:hAnsiTheme="majorEastAsia" w:eastAsiaTheme="majorEastAsia" w:cstheme="majorEastAsia"/>
          <w:b w:val="0"/>
          <w:bCs/>
          <w:kern w:val="0"/>
          <w:sz w:val="24"/>
          <w:szCs w:val="24"/>
        </w:rPr>
        <w:t xml:space="preserve"> 世界贸易组织 </w:t>
      </w:r>
    </w:p>
    <w:p w14:paraId="22B91BD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贸易促进权（快速审批权） </w:t>
      </w:r>
    </w:p>
    <w:p w14:paraId="18D113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保障措施（豁免条款）:紧急进口保护 </w:t>
      </w:r>
    </w:p>
    <w:p w14:paraId="6CD986E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5</w:t>
      </w:r>
      <w:r>
        <w:rPr>
          <w:rFonts w:hint="eastAsia" w:asciiTheme="majorEastAsia" w:hAnsiTheme="majorEastAsia" w:eastAsiaTheme="majorEastAsia" w:cstheme="majorEastAsia"/>
          <w:b w:val="0"/>
          <w:bCs/>
          <w:kern w:val="0"/>
          <w:sz w:val="24"/>
          <w:szCs w:val="24"/>
        </w:rPr>
        <w:t xml:space="preserve"> 反补贴关税:抵制外国出口补贴 </w:t>
      </w:r>
    </w:p>
    <w:p w14:paraId="4130F62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6</w:t>
      </w:r>
      <w:r>
        <w:rPr>
          <w:rFonts w:hint="eastAsia" w:asciiTheme="majorEastAsia" w:hAnsiTheme="majorEastAsia" w:eastAsiaTheme="majorEastAsia" w:cstheme="majorEastAsia"/>
          <w:b w:val="0"/>
          <w:bCs/>
          <w:kern w:val="0"/>
          <w:sz w:val="24"/>
          <w:szCs w:val="24"/>
        </w:rPr>
        <w:t xml:space="preserve"> 反倾销关税:抵制外国倾销 </w:t>
      </w:r>
    </w:p>
    <w:p w14:paraId="0E98169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7</w:t>
      </w:r>
      <w:r>
        <w:rPr>
          <w:rFonts w:hint="eastAsia" w:asciiTheme="majorEastAsia" w:hAnsiTheme="majorEastAsia" w:eastAsiaTheme="majorEastAsia" w:cstheme="majorEastAsia"/>
          <w:b w:val="0"/>
          <w:bCs/>
          <w:kern w:val="0"/>
          <w:sz w:val="24"/>
          <w:szCs w:val="24"/>
        </w:rPr>
        <w:t xml:space="preserve"> 301条款:抵制不公平贸易行为 </w:t>
      </w:r>
    </w:p>
    <w:p w14:paraId="2D537B4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8</w:t>
      </w:r>
      <w:r>
        <w:rPr>
          <w:rFonts w:hint="eastAsia" w:asciiTheme="majorEastAsia" w:hAnsiTheme="majorEastAsia" w:eastAsiaTheme="majorEastAsia" w:cstheme="majorEastAsia"/>
          <w:b w:val="0"/>
          <w:bCs/>
          <w:kern w:val="0"/>
          <w:sz w:val="24"/>
          <w:szCs w:val="24"/>
        </w:rPr>
        <w:t xml:space="preserve"> 知识产权保护 </w:t>
      </w:r>
    </w:p>
    <w:p w14:paraId="49FE619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8</w:t>
      </w:r>
      <w:r>
        <w:rPr>
          <w:rFonts w:hint="eastAsia" w:asciiTheme="majorEastAsia" w:hAnsiTheme="majorEastAsia" w:eastAsiaTheme="majorEastAsia" w:cstheme="majorEastAsia"/>
          <w:b w:val="0"/>
          <w:bCs/>
          <w:kern w:val="0"/>
          <w:sz w:val="24"/>
          <w:szCs w:val="24"/>
        </w:rPr>
        <w:t xml:space="preserve"> 贸易调整援助 </w:t>
      </w:r>
    </w:p>
    <w:p w14:paraId="5E9240A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9</w:t>
      </w:r>
      <w:r>
        <w:rPr>
          <w:rFonts w:hint="eastAsia" w:asciiTheme="majorEastAsia" w:hAnsiTheme="majorEastAsia" w:eastAsiaTheme="majorEastAsia" w:cstheme="majorEastAsia"/>
          <w:b w:val="0"/>
          <w:bCs/>
          <w:kern w:val="0"/>
          <w:sz w:val="24"/>
          <w:szCs w:val="24"/>
        </w:rPr>
        <w:t xml:space="preserve"> 战略性贸易政策 </w:t>
      </w:r>
    </w:p>
    <w:p w14:paraId="3ACD3FB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6.1</w:t>
      </w:r>
      <w:r>
        <w:rPr>
          <w:rFonts w:hint="eastAsia" w:asciiTheme="majorEastAsia" w:hAnsiTheme="majorEastAsia" w:eastAsiaTheme="majorEastAsia" w:cstheme="majorEastAsia"/>
          <w:b w:val="0"/>
          <w:bCs/>
          <w:kern w:val="0"/>
          <w:sz w:val="24"/>
          <w:szCs w:val="24"/>
          <w:lang w:val="en-US" w:eastAsia="zh-CN"/>
        </w:rPr>
        <w:t>0</w:t>
      </w:r>
      <w:r>
        <w:rPr>
          <w:rFonts w:hint="eastAsia" w:asciiTheme="majorEastAsia" w:hAnsiTheme="majorEastAsia" w:eastAsiaTheme="majorEastAsia" w:cstheme="majorEastAsia"/>
          <w:b w:val="0"/>
          <w:bCs/>
          <w:kern w:val="0"/>
          <w:sz w:val="24"/>
          <w:szCs w:val="24"/>
        </w:rPr>
        <w:t xml:space="preserve"> 经济制裁 </w:t>
      </w:r>
    </w:p>
    <w:p w14:paraId="2829B2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第7章 发展中国家的贸易政策</w:t>
      </w:r>
    </w:p>
    <w:p w14:paraId="688F041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7.1 发展中国家的贸易特征 </w:t>
      </w:r>
    </w:p>
    <w:p w14:paraId="74249F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7.2 发展中国家与发达国家之间的紧张局势 </w:t>
      </w:r>
    </w:p>
    <w:p w14:paraId="7DA85A7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7.3 发展中国家的贸易问题 </w:t>
      </w:r>
    </w:p>
    <w:p w14:paraId="199AEAC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7.4 稳定初级产品价格 </w:t>
      </w:r>
    </w:p>
    <w:p w14:paraId="13DEC64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7.5 石油卡特尔———欧佩克 </w:t>
      </w:r>
    </w:p>
    <w:p w14:paraId="6DEDB46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7.6 对发展中国家的援助 </w:t>
      </w:r>
    </w:p>
    <w:p w14:paraId="65BEB73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7.7 经济增长战略:进口替代型增长抑或出口导向型增长 </w:t>
      </w:r>
    </w:p>
    <w:p w14:paraId="5A93B69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7.8 东亚经济体 </w:t>
      </w:r>
    </w:p>
    <w:p w14:paraId="2454162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7.9 中国的巨大飞跃 </w:t>
      </w:r>
    </w:p>
    <w:p w14:paraId="160297C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7.10 印度:冲出第三世界国家行列 </w:t>
      </w:r>
    </w:p>
    <w:p w14:paraId="5C449ED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第8章 区域贸易协定</w:t>
      </w:r>
    </w:p>
    <w:p w14:paraId="6EB385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8.1 区域一体化与多边主义 </w:t>
      </w:r>
    </w:p>
    <w:p w14:paraId="3D11451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8.2 区域贸易协定的类型 </w:t>
      </w:r>
    </w:p>
    <w:p w14:paraId="3D03549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8.3 区域主义的推动因素 </w:t>
      </w:r>
    </w:p>
    <w:p w14:paraId="256ACA2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8.4 区域贸易协定的经济效应 </w:t>
      </w:r>
    </w:p>
    <w:p w14:paraId="39B5990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8.5 欧洲联盟 </w:t>
      </w:r>
    </w:p>
    <w:p w14:paraId="64F0769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8.6 欧元区———欧洲货币联盟 </w:t>
      </w:r>
    </w:p>
    <w:p w14:paraId="1D85E26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8.7 从《北美自由贸易协定》到《美国—墨西哥—加拿大协定》 </w:t>
      </w:r>
    </w:p>
    <w:p w14:paraId="5B1E8A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第9章 要素国际流动和跨国企业</w:t>
      </w:r>
    </w:p>
    <w:p w14:paraId="4980659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9.1 跨国企业 </w:t>
      </w:r>
    </w:p>
    <w:p w14:paraId="60245CA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9.2 对外直接投资的动因 </w:t>
      </w:r>
    </w:p>
    <w:p w14:paraId="089BB2B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9.3 向国外买家供应商品:国内生产还是国外生产 </w:t>
      </w:r>
    </w:p>
    <w:p w14:paraId="500CB46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9.4 国家风险分析 </w:t>
      </w:r>
    </w:p>
    <w:p w14:paraId="5AEC293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9.5 设在美国的外国汽车移植工厂 </w:t>
      </w:r>
    </w:p>
    <w:p w14:paraId="31A18C1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9.6 国际合资企业 </w:t>
      </w:r>
    </w:p>
    <w:p w14:paraId="712D21B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9.7 对跨国企业的争议 </w:t>
      </w:r>
    </w:p>
    <w:p w14:paraId="7C86CC1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9.8 劳动力国际流动:移民 </w:t>
      </w:r>
    </w:p>
    <w:p w14:paraId="61F0932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41" w:firstLineChars="1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二</w:t>
      </w:r>
      <w:r>
        <w:rPr>
          <w:rFonts w:hint="eastAsia" w:asciiTheme="majorEastAsia" w:hAnsiTheme="majorEastAsia" w:eastAsiaTheme="majorEastAsia" w:cstheme="majorEastAsia"/>
          <w:b/>
          <w:bCs w:val="0"/>
          <w:kern w:val="0"/>
          <w:sz w:val="24"/>
          <w:szCs w:val="24"/>
        </w:rPr>
        <w:t>部分 国际货币关系</w:t>
      </w:r>
    </w:p>
    <w:p w14:paraId="320418C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第10章 国际收支</w:t>
      </w:r>
    </w:p>
    <w:p w14:paraId="17EFFB8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10.1 复式记账 </w:t>
      </w:r>
    </w:p>
    <w:p w14:paraId="4485FD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10.2 国际收支平衡表的结构 </w:t>
      </w:r>
    </w:p>
    <w:p w14:paraId="31F525B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10.</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经常账户的赤字（盈余）意味着什么? 336</w:t>
      </w:r>
    </w:p>
    <w:p w14:paraId="3DC2D61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10.</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国际债务平衡表 345</w:t>
      </w:r>
    </w:p>
    <w:p w14:paraId="33470B2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第11章 外 汇</w:t>
      </w:r>
    </w:p>
    <w:p w14:paraId="31B3B63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 外汇市场 </w:t>
      </w:r>
    </w:p>
    <w:p w14:paraId="144E763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11.2 外汇交易自动化 </w:t>
      </w:r>
    </w:p>
    <w:p w14:paraId="5473A4F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11.3 外汇交易的类型 </w:t>
      </w:r>
    </w:p>
    <w:p w14:paraId="7A5A61D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11.4 银行同业交易 </w:t>
      </w:r>
    </w:p>
    <w:p w14:paraId="75C62DB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11.5 解读外汇牌价 </w:t>
      </w:r>
    </w:p>
    <w:p w14:paraId="55E20F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11.6 远期市场和期货市场 </w:t>
      </w:r>
    </w:p>
    <w:p w14:paraId="082BB65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11.7 外汇期权 </w:t>
      </w:r>
    </w:p>
    <w:p w14:paraId="0BE1429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11.8 汇率决定 </w:t>
      </w:r>
    </w:p>
    <w:p w14:paraId="31F4FEB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11.9 美元的兑换价值指标:名义汇率和实际汇率 </w:t>
      </w:r>
    </w:p>
    <w:p w14:paraId="6B34418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11.10 套利、货币风险和套期保值 </w:t>
      </w:r>
    </w:p>
    <w:p w14:paraId="003878F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11.11 外汇市场投机 </w:t>
      </w:r>
    </w:p>
    <w:p w14:paraId="1EE6F4D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11.12 将外汇交易作为自己的职业 </w:t>
      </w:r>
    </w:p>
    <w:p w14:paraId="04922CE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第12章 汇率的决定</w:t>
      </w:r>
    </w:p>
    <w:p w14:paraId="40A997B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12.1 什么决定汇率? </w:t>
      </w:r>
    </w:p>
    <w:p w14:paraId="21D71F7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12.2 长期汇率的决定 </w:t>
      </w:r>
    </w:p>
    <w:p w14:paraId="5ABA2B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12.3 通货膨胀率、购买力平价和长期汇率 </w:t>
      </w:r>
    </w:p>
    <w:p w14:paraId="252E5A5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12.4 短期汇率的决定:资产市场分析法 </w:t>
      </w:r>
    </w:p>
    <w:p w14:paraId="6C58B88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12.5 汇率超调 </w:t>
      </w:r>
    </w:p>
    <w:p w14:paraId="20BF0E4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12.6 汇率的预测 </w:t>
      </w:r>
    </w:p>
    <w:p w14:paraId="6775CED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第13章 汇率调整和国际收支平衡</w:t>
      </w:r>
    </w:p>
    <w:p w14:paraId="5DD1F01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13.1 汇率变化对成本和价格的影响 </w:t>
      </w:r>
    </w:p>
    <w:p w14:paraId="247B47C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13.2 生产商为应对货币升值所采取的成本削减策略 </w:t>
      </w:r>
    </w:p>
    <w:p w14:paraId="17A6F7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13.3 货币贬值能够减少贸易赤字吗?弹性分析法 </w:t>
      </w:r>
    </w:p>
    <w:p w14:paraId="20EF786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13.4 J曲线效应:货币贬值的时间路径 </w:t>
      </w:r>
    </w:p>
    <w:p w14:paraId="4494610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13.5 汇率传递 </w:t>
      </w:r>
    </w:p>
    <w:p w14:paraId="384A473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13.6 货币贬值如何影响国际收支———吸收分析法 </w:t>
      </w:r>
    </w:p>
    <w:p w14:paraId="680B15C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13.7 货币贬值如何影响国际收 支———货币分析法 </w:t>
      </w:r>
    </w:p>
    <w:p w14:paraId="352EA0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第14章 汇率制度与货币危机</w:t>
      </w:r>
    </w:p>
    <w:p w14:paraId="3B25A7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14.1 汇率制度实践 </w:t>
      </w:r>
    </w:p>
    <w:p w14:paraId="2FCAD6A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14.2 资本自由流动条件下的汇率制度选择 </w:t>
      </w:r>
    </w:p>
    <w:p w14:paraId="40D0FE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14.3 固定汇率制度 </w:t>
      </w:r>
    </w:p>
    <w:p w14:paraId="7B21A74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14.4 浮动汇率制度 </w:t>
      </w:r>
    </w:p>
    <w:p w14:paraId="3546C7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14.5 有管理的浮动汇率制度 </w:t>
      </w:r>
    </w:p>
    <w:p w14:paraId="5FC2D52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14.6 爬行式钉住汇率制度 </w:t>
      </w:r>
    </w:p>
    <w:p w14:paraId="4DBD6F6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14.7 汇率操纵和货币战争 </w:t>
      </w:r>
    </w:p>
    <w:p w14:paraId="499AD86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14.8 资本管制 </w:t>
      </w:r>
    </w:p>
    <w:p w14:paraId="591E14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14.9 固定汇率制度的信誉日益提升 </w:t>
      </w:r>
    </w:p>
    <w:p w14:paraId="3726FD8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第15章 开放经济条件下的宏观经济政策</w:t>
      </w:r>
    </w:p>
    <w:p w14:paraId="2CE3CB0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15.1 各国的经济目标 </w:t>
      </w:r>
    </w:p>
    <w:p w14:paraId="7D38D17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15.2 政策工具 </w:t>
      </w:r>
    </w:p>
    <w:p w14:paraId="454C1D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15.3 总需求与总供给</w:t>
      </w:r>
    </w:p>
    <w:p w14:paraId="50FB875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15.4 封闭经济条件下的货币政策和财政政策 </w:t>
      </w:r>
    </w:p>
    <w:p w14:paraId="6761F13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15.5 开放经济条件下的货币政策和财政政策 </w:t>
      </w:r>
    </w:p>
    <w:p w14:paraId="574FC0C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15.6 宏观经济稳定与经常账户:政策一致还是政策冲突 </w:t>
      </w:r>
    </w:p>
    <w:p w14:paraId="3DFE367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15.7 伴随失业的通货膨胀 </w:t>
      </w:r>
    </w:p>
    <w:p w14:paraId="6EF05A3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15.8 国际经济政策协调 </w:t>
      </w:r>
    </w:p>
    <w:p w14:paraId="76273222">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第三部分　进出口贸易实务</w:t>
      </w:r>
    </w:p>
    <w:p w14:paraId="55EBCF5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 xml:space="preserve">第 </w:t>
      </w:r>
      <w:r>
        <w:rPr>
          <w:rFonts w:hint="eastAsia" w:asciiTheme="majorEastAsia" w:hAnsiTheme="majorEastAsia" w:eastAsiaTheme="majorEastAsia" w:cstheme="majorEastAsia"/>
          <w:b/>
          <w:bCs w:val="0"/>
          <w:kern w:val="0"/>
          <w:sz w:val="24"/>
          <w:szCs w:val="24"/>
          <w:lang w:val="en-US" w:eastAsia="zh-CN"/>
        </w:rPr>
        <w:t>16</w:t>
      </w:r>
      <w:r>
        <w:rPr>
          <w:rFonts w:hint="eastAsia" w:asciiTheme="majorEastAsia" w:hAnsiTheme="majorEastAsia" w:eastAsiaTheme="majorEastAsia" w:cstheme="majorEastAsia"/>
          <w:b/>
          <w:bCs w:val="0"/>
          <w:kern w:val="0"/>
          <w:sz w:val="24"/>
          <w:szCs w:val="24"/>
        </w:rPr>
        <w:t xml:space="preserve">章 国际贸易术语 </w:t>
      </w:r>
    </w:p>
    <w:p w14:paraId="5DCDB89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16.1</w:t>
      </w:r>
      <w:r>
        <w:rPr>
          <w:rFonts w:hint="eastAsia" w:asciiTheme="majorEastAsia" w:hAnsiTheme="majorEastAsia" w:eastAsiaTheme="majorEastAsia" w:cstheme="majorEastAsia"/>
          <w:b w:val="0"/>
          <w:bCs/>
          <w:kern w:val="0"/>
          <w:sz w:val="24"/>
          <w:szCs w:val="24"/>
        </w:rPr>
        <w:t xml:space="preserve">　2020通则六个常用的贸易术语 </w:t>
      </w:r>
    </w:p>
    <w:p w14:paraId="0439210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16.2</w:t>
      </w:r>
      <w:r>
        <w:rPr>
          <w:rFonts w:hint="eastAsia" w:asciiTheme="majorEastAsia" w:hAnsiTheme="majorEastAsia" w:eastAsiaTheme="majorEastAsia" w:cstheme="majorEastAsia"/>
          <w:b w:val="0"/>
          <w:bCs/>
          <w:kern w:val="0"/>
          <w:sz w:val="24"/>
          <w:szCs w:val="24"/>
        </w:rPr>
        <w:t xml:space="preserve">　2020通则的其他贸易术语 </w:t>
      </w:r>
    </w:p>
    <w:p w14:paraId="4929B3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 xml:space="preserve">16.3  </w:t>
      </w:r>
      <w:r>
        <w:rPr>
          <w:rFonts w:hint="eastAsia" w:asciiTheme="majorEastAsia" w:hAnsiTheme="majorEastAsia" w:eastAsiaTheme="majorEastAsia" w:cstheme="majorEastAsia"/>
          <w:b w:val="0"/>
          <w:bCs/>
          <w:kern w:val="0"/>
          <w:sz w:val="24"/>
          <w:szCs w:val="24"/>
        </w:rPr>
        <w:t xml:space="preserve">贸易术语的使用和选择 </w:t>
      </w:r>
    </w:p>
    <w:p w14:paraId="00014A1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17章</w:t>
      </w:r>
      <w:r>
        <w:rPr>
          <w:rFonts w:hint="eastAsia" w:asciiTheme="majorEastAsia" w:hAnsiTheme="majorEastAsia" w:eastAsiaTheme="majorEastAsia" w:cstheme="majorEastAsia"/>
          <w:b/>
          <w:bCs w:val="0"/>
          <w:kern w:val="0"/>
          <w:sz w:val="24"/>
          <w:szCs w:val="24"/>
        </w:rPr>
        <w:t xml:space="preserve"> 国际贸易结算</w:t>
      </w:r>
    </w:p>
    <w:p w14:paraId="0EF242E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17.1</w:t>
      </w:r>
      <w:r>
        <w:rPr>
          <w:rFonts w:hint="eastAsia" w:asciiTheme="majorEastAsia" w:hAnsiTheme="majorEastAsia" w:eastAsiaTheme="majorEastAsia" w:cstheme="majorEastAsia"/>
          <w:b w:val="0"/>
          <w:bCs/>
          <w:kern w:val="0"/>
          <w:sz w:val="24"/>
          <w:szCs w:val="24"/>
        </w:rPr>
        <w:t xml:space="preserve"> 汇票 </w:t>
      </w:r>
    </w:p>
    <w:p w14:paraId="07729DE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17.3</w:t>
      </w:r>
      <w:r>
        <w:rPr>
          <w:rFonts w:hint="eastAsia" w:asciiTheme="majorEastAsia" w:hAnsiTheme="majorEastAsia" w:eastAsiaTheme="majorEastAsia" w:cstheme="majorEastAsia"/>
          <w:b w:val="0"/>
          <w:bCs/>
          <w:kern w:val="0"/>
          <w:sz w:val="24"/>
          <w:szCs w:val="24"/>
        </w:rPr>
        <w:t xml:space="preserve">本票和支票 </w:t>
      </w:r>
    </w:p>
    <w:p w14:paraId="6E145D8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17.4</w:t>
      </w:r>
      <w:r>
        <w:rPr>
          <w:rFonts w:hint="eastAsia" w:asciiTheme="majorEastAsia" w:hAnsiTheme="majorEastAsia" w:eastAsiaTheme="majorEastAsia" w:cstheme="majorEastAsia"/>
          <w:b w:val="0"/>
          <w:bCs/>
          <w:kern w:val="0"/>
          <w:sz w:val="24"/>
          <w:szCs w:val="24"/>
        </w:rPr>
        <w:t xml:space="preserve"> 汇付与托收 </w:t>
      </w:r>
    </w:p>
    <w:p w14:paraId="6D30B2F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lang w:val="en-US" w:eastAsia="zh-CN"/>
        </w:rPr>
      </w:pPr>
      <w:r>
        <w:rPr>
          <w:rFonts w:hint="eastAsia" w:asciiTheme="majorEastAsia" w:hAnsiTheme="majorEastAsia" w:eastAsiaTheme="majorEastAsia" w:cstheme="majorEastAsia"/>
          <w:b w:val="0"/>
          <w:bCs/>
          <w:kern w:val="0"/>
          <w:sz w:val="24"/>
          <w:szCs w:val="24"/>
          <w:lang w:val="en-US" w:eastAsia="zh-CN"/>
        </w:rPr>
        <w:t>17.5</w:t>
      </w:r>
      <w:r>
        <w:rPr>
          <w:rFonts w:hint="eastAsia" w:asciiTheme="majorEastAsia" w:hAnsiTheme="majorEastAsia" w:eastAsiaTheme="majorEastAsia" w:cstheme="majorEastAsia"/>
          <w:b w:val="0"/>
          <w:bCs/>
          <w:kern w:val="0"/>
          <w:sz w:val="24"/>
          <w:szCs w:val="24"/>
        </w:rPr>
        <w:t>信用证的基本知识</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信用证的种类</w:t>
      </w:r>
      <w:r>
        <w:rPr>
          <w:rFonts w:hint="eastAsia" w:asciiTheme="majorEastAsia" w:hAnsiTheme="majorEastAsia" w:eastAsiaTheme="majorEastAsia" w:cstheme="majorEastAsia"/>
          <w:b w:val="0"/>
          <w:bCs/>
          <w:kern w:val="0"/>
          <w:sz w:val="24"/>
          <w:szCs w:val="24"/>
          <w:lang w:val="en-US" w:eastAsia="zh-CN"/>
        </w:rPr>
        <w:t>和</w:t>
      </w:r>
      <w:r>
        <w:rPr>
          <w:rFonts w:hint="eastAsia" w:asciiTheme="majorEastAsia" w:hAnsiTheme="majorEastAsia" w:eastAsiaTheme="majorEastAsia" w:cstheme="majorEastAsia"/>
          <w:b w:val="0"/>
          <w:bCs/>
          <w:kern w:val="0"/>
          <w:sz w:val="24"/>
          <w:szCs w:val="24"/>
        </w:rPr>
        <w:t>SWIFT 信用证</w:t>
      </w:r>
    </w:p>
    <w:p w14:paraId="77A8258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17.6</w:t>
      </w:r>
      <w:r>
        <w:rPr>
          <w:rFonts w:hint="eastAsia" w:asciiTheme="majorEastAsia" w:hAnsiTheme="majorEastAsia" w:eastAsiaTheme="majorEastAsia" w:cstheme="majorEastAsia"/>
          <w:b w:val="0"/>
          <w:bCs/>
          <w:kern w:val="0"/>
          <w:sz w:val="24"/>
          <w:szCs w:val="24"/>
        </w:rPr>
        <w:t xml:space="preserve">银行保函、备用信用证 </w:t>
      </w:r>
    </w:p>
    <w:p w14:paraId="51EF8D5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17.7</w:t>
      </w:r>
      <w:r>
        <w:rPr>
          <w:rFonts w:hint="eastAsia" w:asciiTheme="majorEastAsia" w:hAnsiTheme="majorEastAsia" w:eastAsiaTheme="majorEastAsia" w:cstheme="majorEastAsia"/>
          <w:b w:val="0"/>
          <w:bCs/>
          <w:kern w:val="0"/>
          <w:sz w:val="24"/>
          <w:szCs w:val="24"/>
        </w:rPr>
        <w:t>国际贸易融资 140</w:t>
      </w:r>
    </w:p>
    <w:p w14:paraId="6A5004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17.8</w:t>
      </w:r>
      <w:r>
        <w:rPr>
          <w:rFonts w:hint="eastAsia" w:asciiTheme="majorEastAsia" w:hAnsiTheme="majorEastAsia" w:eastAsiaTheme="majorEastAsia" w:cstheme="majorEastAsia"/>
          <w:b w:val="0"/>
          <w:bCs/>
          <w:kern w:val="0"/>
          <w:sz w:val="24"/>
          <w:szCs w:val="24"/>
        </w:rPr>
        <w:t>出口信用保险 156</w:t>
      </w:r>
    </w:p>
    <w:p w14:paraId="458E33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 xml:space="preserve">第 </w:t>
      </w:r>
      <w:r>
        <w:rPr>
          <w:rFonts w:hint="eastAsia" w:asciiTheme="majorEastAsia" w:hAnsiTheme="majorEastAsia" w:eastAsiaTheme="majorEastAsia" w:cstheme="majorEastAsia"/>
          <w:b/>
          <w:bCs w:val="0"/>
          <w:kern w:val="0"/>
          <w:sz w:val="24"/>
          <w:szCs w:val="24"/>
          <w:lang w:val="en-US" w:eastAsia="zh-CN"/>
        </w:rPr>
        <w:t>18</w:t>
      </w:r>
      <w:r>
        <w:rPr>
          <w:rFonts w:hint="eastAsia" w:asciiTheme="majorEastAsia" w:hAnsiTheme="majorEastAsia" w:eastAsiaTheme="majorEastAsia" w:cstheme="majorEastAsia"/>
          <w:b/>
          <w:bCs w:val="0"/>
          <w:kern w:val="0"/>
          <w:sz w:val="24"/>
          <w:szCs w:val="24"/>
        </w:rPr>
        <w:t>章 国际货物运输和保险</w:t>
      </w:r>
    </w:p>
    <w:p w14:paraId="3A3606C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18.1</w:t>
      </w:r>
      <w:r>
        <w:rPr>
          <w:rFonts w:hint="eastAsia" w:asciiTheme="majorEastAsia" w:hAnsiTheme="majorEastAsia" w:eastAsiaTheme="majorEastAsia" w:cstheme="majorEastAsia"/>
          <w:b w:val="0"/>
          <w:bCs/>
          <w:kern w:val="0"/>
          <w:sz w:val="24"/>
          <w:szCs w:val="24"/>
        </w:rPr>
        <w:t xml:space="preserve">国际货运的有关知识 </w:t>
      </w:r>
    </w:p>
    <w:p w14:paraId="20CF3BD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18.2</w:t>
      </w:r>
      <w:r>
        <w:rPr>
          <w:rFonts w:hint="eastAsia" w:asciiTheme="majorEastAsia" w:hAnsiTheme="majorEastAsia" w:eastAsiaTheme="majorEastAsia" w:cstheme="majorEastAsia"/>
          <w:b w:val="0"/>
          <w:bCs/>
          <w:kern w:val="0"/>
          <w:sz w:val="24"/>
          <w:szCs w:val="24"/>
        </w:rPr>
        <w:t xml:space="preserve">国际货运代理 </w:t>
      </w:r>
    </w:p>
    <w:p w14:paraId="7E21B97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18.3</w:t>
      </w:r>
      <w:r>
        <w:rPr>
          <w:rFonts w:hint="eastAsia" w:asciiTheme="majorEastAsia" w:hAnsiTheme="majorEastAsia" w:eastAsiaTheme="majorEastAsia" w:cstheme="majorEastAsia"/>
          <w:b w:val="0"/>
          <w:bCs/>
          <w:kern w:val="0"/>
          <w:sz w:val="24"/>
          <w:szCs w:val="24"/>
        </w:rPr>
        <w:t>海洋运输</w:t>
      </w:r>
    </w:p>
    <w:p w14:paraId="4D3E87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18.4</w:t>
      </w:r>
      <w:r>
        <w:rPr>
          <w:rFonts w:hint="eastAsia" w:asciiTheme="majorEastAsia" w:hAnsiTheme="majorEastAsia" w:eastAsiaTheme="majorEastAsia" w:cstheme="majorEastAsia"/>
          <w:b w:val="0"/>
          <w:bCs/>
          <w:kern w:val="0"/>
          <w:sz w:val="24"/>
          <w:szCs w:val="24"/>
        </w:rPr>
        <w:t xml:space="preserve"> 海运提单</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 xml:space="preserve">海运单、电放 </w:t>
      </w:r>
    </w:p>
    <w:p w14:paraId="6DE66DB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18.5</w:t>
      </w:r>
      <w:r>
        <w:rPr>
          <w:rFonts w:hint="eastAsia" w:asciiTheme="majorEastAsia" w:hAnsiTheme="majorEastAsia" w:eastAsiaTheme="majorEastAsia" w:cstheme="majorEastAsia"/>
          <w:b w:val="0"/>
          <w:bCs/>
          <w:kern w:val="0"/>
          <w:sz w:val="24"/>
          <w:szCs w:val="24"/>
        </w:rPr>
        <w:t>国际航空</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铁路货物运输</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 xml:space="preserve">国际快递  </w:t>
      </w:r>
    </w:p>
    <w:p w14:paraId="56C9C7C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18.6</w:t>
      </w:r>
      <w:r>
        <w:rPr>
          <w:rFonts w:hint="eastAsia" w:asciiTheme="majorEastAsia" w:hAnsiTheme="majorEastAsia" w:eastAsiaTheme="majorEastAsia" w:cstheme="majorEastAsia"/>
          <w:b w:val="0"/>
          <w:bCs/>
          <w:kern w:val="0"/>
          <w:sz w:val="24"/>
          <w:szCs w:val="24"/>
        </w:rPr>
        <w:t xml:space="preserve">国际多式联运 </w:t>
      </w:r>
    </w:p>
    <w:p w14:paraId="1C0531F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18.7</w:t>
      </w:r>
      <w:r>
        <w:rPr>
          <w:rFonts w:hint="eastAsia" w:asciiTheme="majorEastAsia" w:hAnsiTheme="majorEastAsia" w:eastAsiaTheme="majorEastAsia" w:cstheme="majorEastAsia"/>
          <w:b w:val="0"/>
          <w:bCs/>
          <w:kern w:val="0"/>
          <w:sz w:val="24"/>
          <w:szCs w:val="24"/>
        </w:rPr>
        <w:t>国际货运保险方式、保险费和赔付额的计算</w:t>
      </w:r>
    </w:p>
    <w:p w14:paraId="7DA84AB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18.8</w:t>
      </w:r>
      <w:r>
        <w:rPr>
          <w:rFonts w:hint="eastAsia" w:asciiTheme="majorEastAsia" w:hAnsiTheme="majorEastAsia" w:eastAsiaTheme="majorEastAsia" w:cstheme="majorEastAsia"/>
          <w:b w:val="0"/>
          <w:bCs/>
          <w:kern w:val="0"/>
          <w:sz w:val="24"/>
          <w:szCs w:val="24"/>
        </w:rPr>
        <w:t xml:space="preserve">海运风险、损失和费用 </w:t>
      </w:r>
    </w:p>
    <w:p w14:paraId="29362DB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18.9</w:t>
      </w:r>
      <w:r>
        <w:rPr>
          <w:rFonts w:hint="eastAsia" w:asciiTheme="majorEastAsia" w:hAnsiTheme="majorEastAsia" w:eastAsiaTheme="majorEastAsia" w:cstheme="majorEastAsia"/>
          <w:b w:val="0"/>
          <w:bCs/>
          <w:kern w:val="0"/>
          <w:sz w:val="24"/>
          <w:szCs w:val="24"/>
        </w:rPr>
        <w:t xml:space="preserve">国际货运保险条款 </w:t>
      </w:r>
    </w:p>
    <w:p w14:paraId="5846717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val="en-US" w:eastAsia="zh-CN"/>
        </w:rPr>
        <w:t xml:space="preserve">第19章 </w:t>
      </w:r>
      <w:r>
        <w:rPr>
          <w:rFonts w:hint="eastAsia" w:asciiTheme="majorEastAsia" w:hAnsiTheme="majorEastAsia" w:eastAsiaTheme="majorEastAsia" w:cstheme="majorEastAsia"/>
          <w:b/>
          <w:bCs w:val="0"/>
          <w:kern w:val="0"/>
          <w:sz w:val="24"/>
          <w:szCs w:val="24"/>
        </w:rPr>
        <w:t>实务操作的过程</w:t>
      </w:r>
    </w:p>
    <w:p w14:paraId="58EB60B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19.1</w:t>
      </w:r>
      <w:r>
        <w:rPr>
          <w:rFonts w:hint="eastAsia" w:asciiTheme="majorEastAsia" w:hAnsiTheme="majorEastAsia" w:eastAsiaTheme="majorEastAsia" w:cstheme="majorEastAsia"/>
          <w:b w:val="0"/>
          <w:bCs/>
          <w:kern w:val="0"/>
          <w:sz w:val="24"/>
          <w:szCs w:val="24"/>
        </w:rPr>
        <w:t xml:space="preserve">申请外贸经营权 </w:t>
      </w:r>
    </w:p>
    <w:p w14:paraId="4FDC6A5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19.2</w:t>
      </w:r>
      <w:r>
        <w:rPr>
          <w:rFonts w:hint="eastAsia" w:asciiTheme="majorEastAsia" w:hAnsiTheme="majorEastAsia" w:eastAsiaTheme="majorEastAsia" w:cstheme="majorEastAsia"/>
          <w:b w:val="0"/>
          <w:bCs/>
          <w:kern w:val="0"/>
          <w:sz w:val="24"/>
          <w:szCs w:val="24"/>
        </w:rPr>
        <w:t xml:space="preserve">市场调查 </w:t>
      </w:r>
    </w:p>
    <w:p w14:paraId="55DDFA7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19.3</w:t>
      </w:r>
      <w:r>
        <w:rPr>
          <w:rFonts w:hint="eastAsia" w:asciiTheme="majorEastAsia" w:hAnsiTheme="majorEastAsia" w:eastAsiaTheme="majorEastAsia" w:cstheme="majorEastAsia"/>
          <w:b w:val="0"/>
          <w:bCs/>
          <w:kern w:val="0"/>
          <w:sz w:val="24"/>
          <w:szCs w:val="24"/>
        </w:rPr>
        <w:t xml:space="preserve">准备有关产品认证 </w:t>
      </w:r>
    </w:p>
    <w:p w14:paraId="2AE358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19.4</w:t>
      </w:r>
      <w:r>
        <w:rPr>
          <w:rFonts w:hint="eastAsia" w:asciiTheme="majorEastAsia" w:hAnsiTheme="majorEastAsia" w:eastAsiaTheme="majorEastAsia" w:cstheme="majorEastAsia"/>
          <w:b w:val="0"/>
          <w:bCs/>
          <w:kern w:val="0"/>
          <w:sz w:val="24"/>
          <w:szCs w:val="24"/>
        </w:rPr>
        <w:t xml:space="preserve">选择出口市场和产品 </w:t>
      </w:r>
    </w:p>
    <w:p w14:paraId="07CAB80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19.5</w:t>
      </w:r>
      <w:r>
        <w:rPr>
          <w:rFonts w:hint="eastAsia" w:asciiTheme="majorEastAsia" w:hAnsiTheme="majorEastAsia" w:eastAsiaTheme="majorEastAsia" w:cstheme="majorEastAsia"/>
          <w:b w:val="0"/>
          <w:bCs/>
          <w:kern w:val="0"/>
          <w:sz w:val="24"/>
          <w:szCs w:val="24"/>
        </w:rPr>
        <w:t xml:space="preserve">选择出口经营方式 </w:t>
      </w:r>
    </w:p>
    <w:p w14:paraId="5A1B9AD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19.6</w:t>
      </w:r>
      <w:r>
        <w:rPr>
          <w:rFonts w:hint="eastAsia" w:asciiTheme="majorEastAsia" w:hAnsiTheme="majorEastAsia" w:eastAsiaTheme="majorEastAsia" w:cstheme="majorEastAsia"/>
          <w:b w:val="0"/>
          <w:bCs/>
          <w:kern w:val="0"/>
          <w:sz w:val="24"/>
          <w:szCs w:val="24"/>
        </w:rPr>
        <w:t xml:space="preserve">找客户、客户资信调查 </w:t>
      </w:r>
    </w:p>
    <w:p w14:paraId="0AF8CEE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19.7</w:t>
      </w:r>
      <w:r>
        <w:rPr>
          <w:rFonts w:hint="eastAsia" w:asciiTheme="majorEastAsia" w:hAnsiTheme="majorEastAsia" w:eastAsiaTheme="majorEastAsia" w:cstheme="majorEastAsia"/>
          <w:b w:val="0"/>
          <w:bCs/>
          <w:kern w:val="0"/>
          <w:sz w:val="24"/>
          <w:szCs w:val="24"/>
        </w:rPr>
        <w:t>交易的磋商</w:t>
      </w:r>
    </w:p>
    <w:p w14:paraId="01DEA7B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19.8合同的签订</w:t>
      </w:r>
    </w:p>
    <w:p w14:paraId="789B513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p>
    <w:p w14:paraId="44C63234">
      <w:pPr>
        <w:widowControl/>
        <w:shd w:val="clear" w:color="auto" w:fill="FFFFFF"/>
        <w:adjustRightInd w:val="0"/>
        <w:snapToGrid w:val="0"/>
        <w:ind w:firstLine="480" w:firstLineChars="200"/>
        <w:jc w:val="left"/>
        <w:rPr>
          <w:rFonts w:hint="eastAsia" w:ascii="宋体" w:hAnsi="宋体" w:cs="宋体"/>
          <w:kern w:val="0"/>
          <w:sz w:val="24"/>
        </w:rPr>
      </w:pPr>
      <w:bookmarkStart w:id="1" w:name="_GoBack"/>
      <w:bookmarkEnd w:id="1"/>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5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FC027CE"/>
    <w:multiLevelType w:val="singleLevel"/>
    <w:tmpl w:val="2FC027CE"/>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DAzMTNiM2NjMzJjMjdmNjM4N2FlZjkxNTE2OWEifQ=="/>
  </w:docVars>
  <w:rsids>
    <w:rsidRoot w:val="002C0024"/>
    <w:rsid w:val="0000671A"/>
    <w:rsid w:val="000126AD"/>
    <w:rsid w:val="000253DF"/>
    <w:rsid w:val="000517B2"/>
    <w:rsid w:val="00056761"/>
    <w:rsid w:val="000625F2"/>
    <w:rsid w:val="00072864"/>
    <w:rsid w:val="000863BF"/>
    <w:rsid w:val="000902B7"/>
    <w:rsid w:val="000B6337"/>
    <w:rsid w:val="000E1F7D"/>
    <w:rsid w:val="00135951"/>
    <w:rsid w:val="001516BA"/>
    <w:rsid w:val="00165D75"/>
    <w:rsid w:val="001D5EF0"/>
    <w:rsid w:val="001F3427"/>
    <w:rsid w:val="002108E4"/>
    <w:rsid w:val="0022366D"/>
    <w:rsid w:val="002569F9"/>
    <w:rsid w:val="0027088D"/>
    <w:rsid w:val="002B4C55"/>
    <w:rsid w:val="002C0024"/>
    <w:rsid w:val="002D073F"/>
    <w:rsid w:val="002D598E"/>
    <w:rsid w:val="002E496C"/>
    <w:rsid w:val="002F3FF9"/>
    <w:rsid w:val="00303B47"/>
    <w:rsid w:val="00335D97"/>
    <w:rsid w:val="00351C33"/>
    <w:rsid w:val="00371DEF"/>
    <w:rsid w:val="003A5FCC"/>
    <w:rsid w:val="003B0AE9"/>
    <w:rsid w:val="003E6D1A"/>
    <w:rsid w:val="00410B4B"/>
    <w:rsid w:val="00436BB0"/>
    <w:rsid w:val="00447DDF"/>
    <w:rsid w:val="00454CEA"/>
    <w:rsid w:val="00461574"/>
    <w:rsid w:val="004A4156"/>
    <w:rsid w:val="004C75AE"/>
    <w:rsid w:val="004E7686"/>
    <w:rsid w:val="004F5190"/>
    <w:rsid w:val="0050035D"/>
    <w:rsid w:val="00513DA8"/>
    <w:rsid w:val="00573F41"/>
    <w:rsid w:val="005B1417"/>
    <w:rsid w:val="00610C12"/>
    <w:rsid w:val="00633EC0"/>
    <w:rsid w:val="00646512"/>
    <w:rsid w:val="006C629C"/>
    <w:rsid w:val="006D461B"/>
    <w:rsid w:val="00703919"/>
    <w:rsid w:val="0071020B"/>
    <w:rsid w:val="00712151"/>
    <w:rsid w:val="00714DCB"/>
    <w:rsid w:val="00730D1C"/>
    <w:rsid w:val="0073335F"/>
    <w:rsid w:val="0073685B"/>
    <w:rsid w:val="0075293A"/>
    <w:rsid w:val="00755994"/>
    <w:rsid w:val="007662CD"/>
    <w:rsid w:val="0077721B"/>
    <w:rsid w:val="00787AC3"/>
    <w:rsid w:val="00794D8A"/>
    <w:rsid w:val="007C39BA"/>
    <w:rsid w:val="007C4623"/>
    <w:rsid w:val="007D3D06"/>
    <w:rsid w:val="007E5642"/>
    <w:rsid w:val="007F3F0A"/>
    <w:rsid w:val="007F6A35"/>
    <w:rsid w:val="00806968"/>
    <w:rsid w:val="00841731"/>
    <w:rsid w:val="00843873"/>
    <w:rsid w:val="00851203"/>
    <w:rsid w:val="00886302"/>
    <w:rsid w:val="00894927"/>
    <w:rsid w:val="008A5554"/>
    <w:rsid w:val="008A5CA7"/>
    <w:rsid w:val="008C0A08"/>
    <w:rsid w:val="008C10A0"/>
    <w:rsid w:val="008D33ED"/>
    <w:rsid w:val="008F33E8"/>
    <w:rsid w:val="00906A46"/>
    <w:rsid w:val="009416F6"/>
    <w:rsid w:val="00947591"/>
    <w:rsid w:val="0095343F"/>
    <w:rsid w:val="009648C4"/>
    <w:rsid w:val="0097797A"/>
    <w:rsid w:val="00990231"/>
    <w:rsid w:val="009C6CF9"/>
    <w:rsid w:val="009F137F"/>
    <w:rsid w:val="009F3ECB"/>
    <w:rsid w:val="00A011B8"/>
    <w:rsid w:val="00A02B48"/>
    <w:rsid w:val="00A505E3"/>
    <w:rsid w:val="00A676D5"/>
    <w:rsid w:val="00A738B1"/>
    <w:rsid w:val="00AA0B81"/>
    <w:rsid w:val="00AC02F3"/>
    <w:rsid w:val="00AC6E34"/>
    <w:rsid w:val="00AE38A3"/>
    <w:rsid w:val="00B37B10"/>
    <w:rsid w:val="00B448E0"/>
    <w:rsid w:val="00B53187"/>
    <w:rsid w:val="00B70F27"/>
    <w:rsid w:val="00BC65CE"/>
    <w:rsid w:val="00C072EB"/>
    <w:rsid w:val="00C41102"/>
    <w:rsid w:val="00C47421"/>
    <w:rsid w:val="00C524C2"/>
    <w:rsid w:val="00C569D3"/>
    <w:rsid w:val="00C745FA"/>
    <w:rsid w:val="00C926E6"/>
    <w:rsid w:val="00CC38EB"/>
    <w:rsid w:val="00CD2BC8"/>
    <w:rsid w:val="00D01D59"/>
    <w:rsid w:val="00D10660"/>
    <w:rsid w:val="00D23FAB"/>
    <w:rsid w:val="00D32736"/>
    <w:rsid w:val="00D5577B"/>
    <w:rsid w:val="00D6373E"/>
    <w:rsid w:val="00D808CD"/>
    <w:rsid w:val="00D82F10"/>
    <w:rsid w:val="00DA1727"/>
    <w:rsid w:val="00DA2FA4"/>
    <w:rsid w:val="00E061B3"/>
    <w:rsid w:val="00E172F3"/>
    <w:rsid w:val="00E76E87"/>
    <w:rsid w:val="00E97A03"/>
    <w:rsid w:val="00ED3128"/>
    <w:rsid w:val="00F039CA"/>
    <w:rsid w:val="00F15EEA"/>
    <w:rsid w:val="00F3318D"/>
    <w:rsid w:val="00F67067"/>
    <w:rsid w:val="00F915BD"/>
    <w:rsid w:val="00F96E69"/>
    <w:rsid w:val="00FB37FC"/>
    <w:rsid w:val="039B16BF"/>
    <w:rsid w:val="06A26D51"/>
    <w:rsid w:val="14611731"/>
    <w:rsid w:val="186B67C9"/>
    <w:rsid w:val="1B16787A"/>
    <w:rsid w:val="1B774A00"/>
    <w:rsid w:val="245E26D3"/>
    <w:rsid w:val="26D8736F"/>
    <w:rsid w:val="2AA76336"/>
    <w:rsid w:val="326054A2"/>
    <w:rsid w:val="3BFB7C4F"/>
    <w:rsid w:val="3DB0749B"/>
    <w:rsid w:val="3EE707A1"/>
    <w:rsid w:val="40F77B80"/>
    <w:rsid w:val="420A229E"/>
    <w:rsid w:val="4A2920A1"/>
    <w:rsid w:val="4B210D56"/>
    <w:rsid w:val="4BAF32D7"/>
    <w:rsid w:val="4C7B58F9"/>
    <w:rsid w:val="5325673F"/>
    <w:rsid w:val="566A5D07"/>
    <w:rsid w:val="58846DC2"/>
    <w:rsid w:val="6BFF625A"/>
    <w:rsid w:val="781008BC"/>
    <w:rsid w:val="79863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uiPriority w:val="0"/>
    <w:rPr>
      <w:b/>
      <w:bCs/>
    </w:rPr>
  </w:style>
  <w:style w:type="character" w:styleId="10">
    <w:name w:val="Strong"/>
    <w:autoRedefine/>
    <w:qFormat/>
    <w:uiPriority w:val="0"/>
    <w:rPr>
      <w:b/>
      <w:bCs/>
    </w:rPr>
  </w:style>
  <w:style w:type="character" w:styleId="11">
    <w:name w:val="Emphasis"/>
    <w:qFormat/>
    <w:uiPriority w:val="20"/>
    <w:rPr>
      <w:i/>
      <w:iCs/>
    </w:rPr>
  </w:style>
  <w:style w:type="character" w:styleId="12">
    <w:name w:val="annotation reference"/>
    <w:uiPriority w:val="0"/>
    <w:rPr>
      <w:sz w:val="21"/>
      <w:szCs w:val="21"/>
    </w:rPr>
  </w:style>
  <w:style w:type="character" w:customStyle="1" w:styleId="13">
    <w:name w:val="批注文字 字符"/>
    <w:link w:val="2"/>
    <w:autoRedefine/>
    <w:qFormat/>
    <w:uiPriority w:val="0"/>
    <w:rPr>
      <w:kern w:val="2"/>
      <w:sz w:val="21"/>
      <w:szCs w:val="24"/>
    </w:rPr>
  </w:style>
  <w:style w:type="character" w:customStyle="1" w:styleId="14">
    <w:name w:val="批注主题 字符"/>
    <w:link w:val="7"/>
    <w:qFormat/>
    <w:uiPriority w:val="0"/>
    <w:rPr>
      <w:b/>
      <w:bCs/>
      <w:kern w:val="2"/>
      <w:sz w:val="21"/>
      <w:szCs w:val="24"/>
    </w:rPr>
  </w:style>
  <w:style w:type="paragraph" w:customStyle="1" w:styleId="15">
    <w:name w:val="大纲正文"/>
    <w:basedOn w:val="1"/>
    <w:autoRedefine/>
    <w:qFormat/>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5898</Words>
  <Characters>6465</Characters>
  <Lines>35</Lines>
  <Paragraphs>10</Paragraphs>
  <TotalTime>0</TotalTime>
  <ScaleCrop>false</ScaleCrop>
  <LinksUpToDate>false</LinksUpToDate>
  <CharactersWithSpaces>7589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2016-06-08T07:21:00Z</dcterms:created>
  <dc:creator>Lenovo User</dc:creator>
  <cp:lastModifiedBy>~ing</cp:lastModifiedBy>
  <cp:lastPrinted>2018-05-23T03:34:00Z</cp:lastPrinted>
  <dcterms:modified xsi:type="dcterms:W3CDTF">2024-09-30T07:00:17Z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E1C0A0D4BAC8401CA75BBB04E5D840E4_13</vt:lpwstr>
  </property>
</Properties>
</file>