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snapToGrid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考试年度：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>20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年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b/>
          <w:sz w:val="28"/>
          <w:szCs w:val="28"/>
        </w:rPr>
        <w:t>考试科目代码及名称：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434-国际商务专业基础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</w:t>
      </w:r>
    </w:p>
    <w:p>
      <w:pPr>
        <w:snapToGrid w:val="0"/>
        <w:rPr>
          <w:rFonts w:hint="default" w:ascii="仿宋_GB2312" w:hAnsi="仿宋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适用专业：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025400国际商务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  <w:u w:val="single"/>
        </w:rPr>
      </w:pPr>
    </w:p>
    <w:p>
      <w:pPr>
        <w:snapToGrid w:val="0"/>
        <w:rPr>
          <w:rFonts w:hint="eastAsia"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  <w:u w:val="single"/>
        </w:rPr>
        <w:t>［友情提醒：请在考点提供的专用答题纸上答题，答在本卷或草稿纸上无效！］</w:t>
      </w:r>
    </w:p>
    <w:p>
      <w:pPr>
        <w:rPr>
          <w:rFonts w:hint="eastAsia" w:ascii="仿宋_GB2312" w:eastAsia="仿宋_GB2312"/>
          <w:b/>
          <w:sz w:val="24"/>
        </w:rPr>
      </w:pPr>
    </w:p>
    <w:p>
      <w:pPr>
        <w:shd w:val="solid" w:color="FFFFFF" w:fill="auto"/>
        <w:autoSpaceDN w:val="0"/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名词解释（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15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题，每题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分，共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45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分）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国际商务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亚文化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企业社会责任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购买力平价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绝对优势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反倾销税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对外直接投资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区域经济一体化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对销贸易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国际费雪效应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集中战略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特许经营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转移价格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外包</w:t>
      </w:r>
    </w:p>
    <w:p>
      <w:pPr>
        <w:pStyle w:val="9"/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垂直一体化</w:t>
      </w:r>
    </w:p>
    <w:p>
      <w:pPr>
        <w:spacing w:line="240" w:lineRule="auto"/>
        <w:rPr>
          <w:rFonts w:hint="eastAsia" w:ascii="楷体" w:hAnsi="楷体" w:eastAsia="楷体" w:cs="宋体-方正超大字符集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问答题（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题，每题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分，共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45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分）</w:t>
      </w:r>
    </w:p>
    <w:p>
      <w:pPr>
        <w:pStyle w:val="9"/>
        <w:numPr>
          <w:ilvl w:val="0"/>
          <w:numId w:val="2"/>
        </w:numPr>
        <w:spacing w:line="240" w:lineRule="auto"/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跨国经营的政治风险的类型有哪些？</w:t>
      </w:r>
    </w:p>
    <w:p>
      <w:pPr>
        <w:pStyle w:val="9"/>
        <w:numPr>
          <w:ilvl w:val="0"/>
          <w:numId w:val="2"/>
        </w:numPr>
        <w:spacing w:line="240" w:lineRule="auto"/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物质文化对于国际商务的重要性是什么？</w:t>
      </w:r>
    </w:p>
    <w:p>
      <w:pPr>
        <w:pStyle w:val="9"/>
        <w:numPr>
          <w:ilvl w:val="0"/>
          <w:numId w:val="2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在折衷理论中，进行对外直接投资所必须具备的三种优势是什么？</w:t>
      </w:r>
    </w:p>
    <w:p>
      <w:pPr>
        <w:pStyle w:val="9"/>
        <w:numPr>
          <w:ilvl w:val="0"/>
          <w:numId w:val="2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区域经济一体化的潜在的益处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有哪些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pStyle w:val="9"/>
        <w:numPr>
          <w:ilvl w:val="0"/>
          <w:numId w:val="2"/>
        </w:numPr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战略制定的步骤是什么？</w:t>
      </w:r>
    </w:p>
    <w:p>
      <w:pPr>
        <w:pStyle w:val="9"/>
        <w:numPr>
          <w:ilvl w:val="0"/>
          <w:numId w:val="2"/>
        </w:numPr>
        <w:spacing w:line="240" w:lineRule="auto"/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进入模式中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选择</w:t>
      </w:r>
      <w:r>
        <w:rPr>
          <w:rFonts w:hint="eastAsia" w:ascii="宋体" w:hAnsi="宋体" w:eastAsia="宋体"/>
          <w:sz w:val="24"/>
          <w:szCs w:val="24"/>
        </w:rPr>
        <w:t>全资子公司的优缺点是什么？</w:t>
      </w:r>
    </w:p>
    <w:p>
      <w:pPr>
        <w:pStyle w:val="9"/>
        <w:numPr>
          <w:ilvl w:val="0"/>
          <w:numId w:val="2"/>
        </w:numPr>
        <w:spacing w:line="240" w:lineRule="auto"/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企业在跨国经营中实施全球定价策略时需要考虑的因素是什么？</w:t>
      </w:r>
    </w:p>
    <w:p>
      <w:pPr>
        <w:pStyle w:val="9"/>
        <w:numPr>
          <w:ilvl w:val="0"/>
          <w:numId w:val="2"/>
        </w:numPr>
        <w:spacing w:line="240" w:lineRule="auto"/>
        <w:ind w:left="425" w:leftChars="0" w:hanging="425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跨国公司发行美国存托凭证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有哪些优点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numPr>
          <w:ilvl w:val="0"/>
          <w:numId w:val="2"/>
        </w:numPr>
        <w:spacing w:line="240" w:lineRule="auto"/>
        <w:ind w:left="425" w:leftChars="0" w:hanging="425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在跨国运营活动中，</w:t>
      </w:r>
      <w:r>
        <w:rPr>
          <w:rFonts w:hint="eastAsia" w:ascii="宋体" w:hAnsi="宋体" w:eastAsia="宋体"/>
          <w:sz w:val="24"/>
          <w:szCs w:val="24"/>
        </w:rPr>
        <w:t>制定生产战略时需要重点考虑的因素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包括哪些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numPr>
          <w:ilvl w:val="0"/>
          <w:numId w:val="3"/>
        </w:numPr>
        <w:shd w:val="solid" w:color="FFFFFF" w:fill="auto"/>
        <w:autoSpaceDN w:val="0"/>
        <w:adjustRightInd w:val="0"/>
        <w:snapToGrid w:val="0"/>
        <w:spacing w:before="156" w:beforeLines="50" w:after="156" w:afterLines="50" w:line="240" w:lineRule="auto"/>
        <w:ind w:leftChars="0"/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论述题（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题，每题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15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分，共60分）</w:t>
      </w:r>
    </w:p>
    <w:p>
      <w:pPr>
        <w:numPr>
          <w:ilvl w:val="0"/>
          <w:numId w:val="4"/>
        </w:numPr>
        <w:shd w:val="solid" w:color="FFFFFF" w:fill="auto"/>
        <w:autoSpaceDN w:val="0"/>
        <w:adjustRightInd w:val="0"/>
        <w:snapToGrid w:val="0"/>
        <w:spacing w:before="156" w:beforeLines="50" w:after="156" w:afterLines="50" w:line="24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如何认识全球一体化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  <w:bookmarkStart w:id="0" w:name="_GoBack"/>
      <w:bookmarkEnd w:id="0"/>
    </w:p>
    <w:p>
      <w:pPr>
        <w:numPr>
          <w:ilvl w:val="0"/>
          <w:numId w:val="4"/>
        </w:numPr>
        <w:shd w:val="solid" w:color="FFFFFF" w:fill="auto"/>
        <w:autoSpaceDN w:val="0"/>
        <w:adjustRightInd w:val="0"/>
        <w:snapToGrid w:val="0"/>
        <w:spacing w:before="156" w:beforeLines="50" w:after="156" w:afterLines="50" w:line="240" w:lineRule="auto"/>
        <w:ind w:left="425" w:leftChars="0" w:hanging="425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汇率的决定因素有哪些？如何有效防范国际经营面对的国际汇率风险？</w:t>
      </w:r>
    </w:p>
    <w:p>
      <w:pPr>
        <w:numPr>
          <w:ilvl w:val="0"/>
          <w:numId w:val="4"/>
        </w:numPr>
        <w:shd w:val="solid" w:color="FFFFFF" w:fill="auto"/>
        <w:autoSpaceDN w:val="0"/>
        <w:adjustRightInd w:val="0"/>
        <w:snapToGrid w:val="0"/>
        <w:spacing w:before="156" w:beforeLines="50" w:after="156" w:afterLines="50" w:line="24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际投资环境是指影响国际投资的各种自然因素、经济因素、政治因素、社会因素和法律因素相互依赖、相互完善、相互制约所形成的矛盾统一体。试结合影响一国投资环境的因素体系，简要评述中国国际投资环境。</w:t>
      </w:r>
    </w:p>
    <w:p>
      <w:pPr>
        <w:numPr>
          <w:ilvl w:val="0"/>
          <w:numId w:val="4"/>
        </w:numPr>
        <w:spacing w:line="24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“世界上最贫穷的国家没有什么可出口的，因为它们没有什么自由——它们的资本和土地都不丰裕，甚至劳动力都不丰裕”。这一论断对不对？试用相关理论进行解释。</w:t>
      </w:r>
    </w:p>
    <w:p>
      <w:pPr>
        <w:numPr>
          <w:ilvl w:val="0"/>
          <w:numId w:val="0"/>
        </w:numPr>
        <w:shd w:val="solid" w:color="FFFFFF" w:fill="auto"/>
        <w:autoSpaceDN w:val="0"/>
        <w:adjustRightInd w:val="0"/>
        <w:snapToGrid w:val="0"/>
        <w:spacing w:before="156" w:beforeLines="50" w:after="156" w:afterLines="50" w:line="360" w:lineRule="auto"/>
        <w:ind w:leftChars="0"/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ind w:firstLine="120" w:firstLineChars="50"/>
        <w:rPr>
          <w:rFonts w:hint="eastAsia" w:ascii="楷体" w:hAnsi="楷体" w:eastAsia="楷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both"/>
      <w:rPr>
        <w:rFonts w:hint="eastAsia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/>
        <w:b/>
        <w:color w:val="FF0000"/>
      </w:rPr>
    </w:pPr>
    <w:r>
      <w:rPr>
        <w:rFonts w:hint="eastAsia" w:ascii="宋体" w:hAnsi="宋体"/>
        <w:b/>
        <w:color w:val="FF0000"/>
      </w:rPr>
      <w:t>欢迎报考广东财经大学硕士研究生，祝你考试成功！（</w:t>
    </w:r>
    <w:r>
      <w:rPr>
        <w:rFonts w:hint="eastAsia" w:ascii="宋体" w:hAnsi="宋体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  <w:lang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  <w:lang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</w:t>
    </w:r>
    <w:r>
      <w:rPr>
        <w:rFonts w:hint="eastAsia" w:ascii="宋体" w:hAnsi="宋体"/>
        <w:b/>
        <w:color w:val="FF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09940"/>
    <w:multiLevelType w:val="singleLevel"/>
    <w:tmpl w:val="B9F099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B2481D"/>
    <w:multiLevelType w:val="singleLevel"/>
    <w:tmpl w:val="EFB2481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33417D6"/>
    <w:multiLevelType w:val="singleLevel"/>
    <w:tmpl w:val="133417D6"/>
    <w:lvl w:ilvl="0" w:tentative="0">
      <w:start w:val="3"/>
      <w:numFmt w:val="chineseCounting"/>
      <w:suff w:val="nothing"/>
      <w:lvlText w:val="%1、"/>
      <w:lvlJc w:val="left"/>
      <w:rPr>
        <w:rFonts w:hint="eastAsia" w:ascii="仿宋" w:hAnsi="仿宋" w:eastAsia="仿宋" w:cs="仿宋"/>
        <w:b/>
        <w:bCs/>
        <w:sz w:val="28"/>
        <w:szCs w:val="28"/>
      </w:rPr>
    </w:lvl>
  </w:abstractNum>
  <w:abstractNum w:abstractNumId="3">
    <w:nsid w:val="189F4F34"/>
    <w:multiLevelType w:val="singleLevel"/>
    <w:tmpl w:val="189F4F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60"/>
    <w:rsid w:val="000026BF"/>
    <w:rsid w:val="00003809"/>
    <w:rsid w:val="0001341B"/>
    <w:rsid w:val="00036FB7"/>
    <w:rsid w:val="00060A3E"/>
    <w:rsid w:val="00080CC6"/>
    <w:rsid w:val="00096AC3"/>
    <w:rsid w:val="000C4120"/>
    <w:rsid w:val="000C6E6C"/>
    <w:rsid w:val="000D7E1C"/>
    <w:rsid w:val="000E0FE6"/>
    <w:rsid w:val="000F4F56"/>
    <w:rsid w:val="00104CD6"/>
    <w:rsid w:val="00136998"/>
    <w:rsid w:val="00140387"/>
    <w:rsid w:val="001447F4"/>
    <w:rsid w:val="001558D7"/>
    <w:rsid w:val="001724C0"/>
    <w:rsid w:val="00172F38"/>
    <w:rsid w:val="00180784"/>
    <w:rsid w:val="00181257"/>
    <w:rsid w:val="001B4CD8"/>
    <w:rsid w:val="001C1D4E"/>
    <w:rsid w:val="001F499C"/>
    <w:rsid w:val="00223824"/>
    <w:rsid w:val="00226C6A"/>
    <w:rsid w:val="0026613D"/>
    <w:rsid w:val="00270157"/>
    <w:rsid w:val="002703EE"/>
    <w:rsid w:val="00276FBF"/>
    <w:rsid w:val="002817A9"/>
    <w:rsid w:val="002B50AF"/>
    <w:rsid w:val="002E70D0"/>
    <w:rsid w:val="00317888"/>
    <w:rsid w:val="00320E35"/>
    <w:rsid w:val="00320F46"/>
    <w:rsid w:val="0033465B"/>
    <w:rsid w:val="00346B4D"/>
    <w:rsid w:val="00353F2B"/>
    <w:rsid w:val="003676C7"/>
    <w:rsid w:val="00367705"/>
    <w:rsid w:val="00370CAF"/>
    <w:rsid w:val="00373489"/>
    <w:rsid w:val="003A57D6"/>
    <w:rsid w:val="003C5EA9"/>
    <w:rsid w:val="003C6ABC"/>
    <w:rsid w:val="003E0CF7"/>
    <w:rsid w:val="003F641F"/>
    <w:rsid w:val="00401519"/>
    <w:rsid w:val="00417398"/>
    <w:rsid w:val="00435580"/>
    <w:rsid w:val="00436EB7"/>
    <w:rsid w:val="00445CB4"/>
    <w:rsid w:val="004567C0"/>
    <w:rsid w:val="00465A67"/>
    <w:rsid w:val="004A398B"/>
    <w:rsid w:val="004A6935"/>
    <w:rsid w:val="004B59C6"/>
    <w:rsid w:val="004C157E"/>
    <w:rsid w:val="004D00BE"/>
    <w:rsid w:val="00505154"/>
    <w:rsid w:val="00513169"/>
    <w:rsid w:val="00515011"/>
    <w:rsid w:val="00547B50"/>
    <w:rsid w:val="00577BA3"/>
    <w:rsid w:val="005A0791"/>
    <w:rsid w:val="005B5C88"/>
    <w:rsid w:val="005C5EFE"/>
    <w:rsid w:val="005D6F12"/>
    <w:rsid w:val="005F0914"/>
    <w:rsid w:val="005F5467"/>
    <w:rsid w:val="0060007A"/>
    <w:rsid w:val="00603C36"/>
    <w:rsid w:val="00616BAA"/>
    <w:rsid w:val="006253E6"/>
    <w:rsid w:val="00644231"/>
    <w:rsid w:val="00654DFA"/>
    <w:rsid w:val="006A0123"/>
    <w:rsid w:val="006A674E"/>
    <w:rsid w:val="006C6AE2"/>
    <w:rsid w:val="006E1060"/>
    <w:rsid w:val="006E5104"/>
    <w:rsid w:val="006E7679"/>
    <w:rsid w:val="0074145B"/>
    <w:rsid w:val="007612D5"/>
    <w:rsid w:val="00762A57"/>
    <w:rsid w:val="00767F1C"/>
    <w:rsid w:val="00770662"/>
    <w:rsid w:val="00786FED"/>
    <w:rsid w:val="007A523E"/>
    <w:rsid w:val="007B26B7"/>
    <w:rsid w:val="007B7DF1"/>
    <w:rsid w:val="007C1FC6"/>
    <w:rsid w:val="007C5470"/>
    <w:rsid w:val="007C5BEE"/>
    <w:rsid w:val="007F54BA"/>
    <w:rsid w:val="0083166D"/>
    <w:rsid w:val="00842C2E"/>
    <w:rsid w:val="00862AA1"/>
    <w:rsid w:val="00871A88"/>
    <w:rsid w:val="00872CDF"/>
    <w:rsid w:val="008823DC"/>
    <w:rsid w:val="008906AE"/>
    <w:rsid w:val="008C1FD2"/>
    <w:rsid w:val="008C65A0"/>
    <w:rsid w:val="00902CB7"/>
    <w:rsid w:val="00906621"/>
    <w:rsid w:val="00924606"/>
    <w:rsid w:val="00930AF3"/>
    <w:rsid w:val="009336BB"/>
    <w:rsid w:val="00953C78"/>
    <w:rsid w:val="00960DD1"/>
    <w:rsid w:val="009757C8"/>
    <w:rsid w:val="00980A0F"/>
    <w:rsid w:val="00981180"/>
    <w:rsid w:val="009B3CEE"/>
    <w:rsid w:val="009D2E05"/>
    <w:rsid w:val="009D600E"/>
    <w:rsid w:val="009E5CA5"/>
    <w:rsid w:val="009F2732"/>
    <w:rsid w:val="00A0058A"/>
    <w:rsid w:val="00A07F96"/>
    <w:rsid w:val="00A1403B"/>
    <w:rsid w:val="00A22601"/>
    <w:rsid w:val="00A446D7"/>
    <w:rsid w:val="00A44F25"/>
    <w:rsid w:val="00A63866"/>
    <w:rsid w:val="00A67AFD"/>
    <w:rsid w:val="00A91546"/>
    <w:rsid w:val="00A954D2"/>
    <w:rsid w:val="00AA6B9C"/>
    <w:rsid w:val="00AE6EBA"/>
    <w:rsid w:val="00AE7092"/>
    <w:rsid w:val="00B04123"/>
    <w:rsid w:val="00B47F20"/>
    <w:rsid w:val="00B50F9B"/>
    <w:rsid w:val="00B51B36"/>
    <w:rsid w:val="00B51CC5"/>
    <w:rsid w:val="00B87703"/>
    <w:rsid w:val="00BB754C"/>
    <w:rsid w:val="00BC316E"/>
    <w:rsid w:val="00BE7EFC"/>
    <w:rsid w:val="00BF206F"/>
    <w:rsid w:val="00BF442A"/>
    <w:rsid w:val="00BF55D6"/>
    <w:rsid w:val="00C03F52"/>
    <w:rsid w:val="00C139DD"/>
    <w:rsid w:val="00C158E0"/>
    <w:rsid w:val="00C247D3"/>
    <w:rsid w:val="00C410F5"/>
    <w:rsid w:val="00C4171D"/>
    <w:rsid w:val="00C55543"/>
    <w:rsid w:val="00C55A4C"/>
    <w:rsid w:val="00C60F5A"/>
    <w:rsid w:val="00CF0FA9"/>
    <w:rsid w:val="00CF50D6"/>
    <w:rsid w:val="00CF5E4B"/>
    <w:rsid w:val="00D15C15"/>
    <w:rsid w:val="00D32C5C"/>
    <w:rsid w:val="00D50FFA"/>
    <w:rsid w:val="00D51117"/>
    <w:rsid w:val="00D53A10"/>
    <w:rsid w:val="00D56DA4"/>
    <w:rsid w:val="00D80E22"/>
    <w:rsid w:val="00DA6814"/>
    <w:rsid w:val="00DB3C10"/>
    <w:rsid w:val="00DB52AF"/>
    <w:rsid w:val="00DE57BA"/>
    <w:rsid w:val="00E11A83"/>
    <w:rsid w:val="00E3254F"/>
    <w:rsid w:val="00EF4264"/>
    <w:rsid w:val="00F23218"/>
    <w:rsid w:val="00F36457"/>
    <w:rsid w:val="00F36DE5"/>
    <w:rsid w:val="00F5130B"/>
    <w:rsid w:val="00F517F4"/>
    <w:rsid w:val="00F55FDE"/>
    <w:rsid w:val="00F67419"/>
    <w:rsid w:val="00F96AA1"/>
    <w:rsid w:val="00FA4518"/>
    <w:rsid w:val="00FB493E"/>
    <w:rsid w:val="00FD2BD0"/>
    <w:rsid w:val="00FE0529"/>
    <w:rsid w:val="0E1B064B"/>
    <w:rsid w:val="0EAB00EA"/>
    <w:rsid w:val="1B7A17B1"/>
    <w:rsid w:val="23EB79D6"/>
    <w:rsid w:val="2B3B47E4"/>
    <w:rsid w:val="2BF91F55"/>
    <w:rsid w:val="36547089"/>
    <w:rsid w:val="3AD778D8"/>
    <w:rsid w:val="419374ED"/>
    <w:rsid w:val="41EA1185"/>
    <w:rsid w:val="47D17EB9"/>
    <w:rsid w:val="4A994707"/>
    <w:rsid w:val="54B0535B"/>
    <w:rsid w:val="5DF86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611</Words>
  <Characters>626</Characters>
  <Lines>16</Lines>
  <Paragraphs>17</Paragraphs>
  <TotalTime>2</TotalTime>
  <ScaleCrop>false</ScaleCrop>
  <LinksUpToDate>false</LinksUpToDate>
  <CharactersWithSpaces>631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2022-11-02T09:12:00Z</dcterms:created>
  <dc:creator>微软用户</dc:creator>
  <cp:lastModifiedBy>Lenovo</cp:lastModifiedBy>
  <cp:lastPrinted>2022-11-19T06:59:46Z</cp:lastPrinted>
  <dcterms:modified xsi:type="dcterms:W3CDTF">2022-11-19T07:00:52Z</dcterms:modified>
  <dc:title>广东商学院硕士研究生入学考试试卷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405B4D7F49C041799370490DB81DCD70</vt:lpwstr>
  </property>
</Properties>
</file>