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审计硕士</w:t>
      </w:r>
      <w:r>
        <w:rPr>
          <w:rFonts w:ascii="黑体" w:hAnsi="黑体" w:eastAsia="黑体" w:cs="黑体"/>
          <w:b/>
          <w:color w:val="000000"/>
          <w:sz w:val="36"/>
          <w:szCs w:val="36"/>
        </w:rPr>
        <w:t>125700</w:t>
      </w:r>
    </w:p>
    <w:p>
      <w:pPr>
        <w:adjustRightInd w:val="0"/>
        <w:snapToGrid w:val="0"/>
        <w:ind w:firstLine="470" w:firstLineChars="196"/>
        <w:rPr>
          <w:rFonts w:ascii="宋体" w:hAnsi="宋体" w:eastAsia="宋体" w:cs="Times New Roman"/>
          <w:sz w:val="24"/>
          <w:szCs w:val="20"/>
        </w:rPr>
      </w:pPr>
    </w:p>
    <w:p>
      <w:pPr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学科点简介: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会计学院现有教工59人，专任教师45人，其中教授10人、副教授17人，具有博士学位的教师28人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。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本学位点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师资队伍中有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博士生导师4人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硕士导师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48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博士后合作导师4人；聘请校外实践导师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173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人；全国先进会计工作者1人，全国会计领军人才特支计划入选者1人，财政部全国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高端会计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人才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4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人，广东省高端会计人才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4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人；广东省高等学校“千百十人才工程”培养对象11人，广东省高等学校优秀青年教师培养对象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4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人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，南粤优秀教师4人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；广东高校辅导员年度人物1人。先后有多名教师作为访问学者到美国、加拿大、澳大利亚等国家访学。近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5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本学位点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在研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国家课题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9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项，省部级课题1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8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项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，市厅级课题21项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；承担政府、企事业单位委托横向课题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31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项，合同经费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850余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万元；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近3年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在国际商科顶级期刊UTD24/FT50、国家自然科学基金委A类期刊、ABS、SSCI、SCI、EI和A&amp;HCI类及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学校B类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以上权威期刊发表论文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30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篇，在其他CSSCI期刊（集刊）发表论文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36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篇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（第一作者且第一单位），含合作CSSCI论文100余篇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，出版著作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和教材7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部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，获省部级以上成果奖6项，</w:t>
      </w:r>
      <w:r>
        <w:rPr>
          <w:rFonts w:hint="eastAsia" w:ascii="宋体" w:hAnsi="宋体" w:eastAsia="宋体" w:cs="Times New Roman"/>
          <w:color w:val="000000"/>
          <w:sz w:val="24"/>
          <w:szCs w:val="20"/>
          <w:lang w:eastAsia="zh-Hans"/>
        </w:rPr>
        <w:t>为政府部门、企事业单位提供咨询报告12篇，均得到采纳。</w:t>
      </w:r>
      <w:r>
        <w:rPr>
          <w:rFonts w:hint="eastAsia" w:ascii="宋体" w:hAnsi="宋体"/>
          <w:color w:val="000000"/>
          <w:sz w:val="24"/>
          <w:szCs w:val="20"/>
        </w:rPr>
        <w:t>2007年开始招收会计学学术型研究生，2015年开始招收会计硕士专业学位研究生，2019年开始招收审计硕士专业学位研究生。2019年招生至今，审计硕士毕业生就业率和就业质量均名列前茅。</w:t>
      </w:r>
    </w:p>
    <w:p>
      <w:pPr>
        <w:rPr>
          <w:rFonts w:ascii="宋体" w:hAnsi="宋体" w:eastAsia="宋体" w:cs="Times New Roman"/>
          <w:sz w:val="24"/>
          <w:szCs w:val="20"/>
        </w:rPr>
      </w:pPr>
    </w:p>
    <w:p>
      <w:pPr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培养目标</w:t>
      </w:r>
      <w:r>
        <w:rPr>
          <w:rFonts w:hint="eastAsia" w:ascii="宋体" w:hAnsi="宋体" w:eastAsia="宋体" w:cs="Times New Roman"/>
          <w:b/>
          <w:color w:val="000000"/>
          <w:sz w:val="24"/>
          <w:szCs w:val="20"/>
        </w:rPr>
        <w:t>: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本专业对接国家和粤港澳大湾区经济社会发展，坚持“</w:t>
      </w:r>
      <w:r>
        <w:rPr>
          <w:rFonts w:ascii="宋体" w:hAnsi="宋体" w:eastAsia="宋体" w:cs="Times New Roman"/>
          <w:color w:val="000000"/>
          <w:sz w:val="24"/>
          <w:szCs w:val="20"/>
        </w:rPr>
        <w:t>湾区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意识</w:t>
      </w:r>
      <w:r>
        <w:rPr>
          <w:rFonts w:ascii="宋体" w:hAnsi="宋体" w:eastAsia="宋体" w:cs="Times New Roman"/>
          <w:color w:val="000000"/>
          <w:sz w:val="24"/>
          <w:szCs w:val="20"/>
        </w:rPr>
        <w:t>、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数智赋能、多元协同、知行合一”</w:t>
      </w:r>
      <w:r>
        <w:rPr>
          <w:rFonts w:ascii="宋体" w:hAnsi="宋体" w:eastAsia="宋体" w:cs="Times New Roman"/>
          <w:color w:val="000000"/>
          <w:sz w:val="24"/>
          <w:szCs w:val="20"/>
        </w:rPr>
        <w:t>的人才培养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理念，培养具有优良的思想道德、科学精神、人文素养、专业知识、宏观视野和战略思维的复合型、应用型、信息化和创新型高级审计专业人才。</w:t>
      </w:r>
    </w:p>
    <w:p>
      <w:pPr>
        <w:rPr>
          <w:rFonts w:ascii="宋体" w:hAnsi="宋体" w:eastAsia="宋体" w:cs="Times New Roman"/>
          <w:sz w:val="24"/>
          <w:szCs w:val="20"/>
        </w:rPr>
      </w:pPr>
    </w:p>
    <w:p>
      <w:pPr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0"/>
        </w:rPr>
        <w:t>主要课程:</w:t>
      </w:r>
      <w:r>
        <w:rPr>
          <w:rFonts w:hint="eastAsia" w:ascii="宋体" w:hAnsi="宋体" w:eastAsia="宋体" w:cs="Times New Roman"/>
          <w:sz w:val="24"/>
          <w:szCs w:val="20"/>
        </w:rPr>
        <w:t>高级财务会计理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论与实务、公司治理理论与实务、内部控制理论与实务、高级审计理论与实务、审计法律研究与案例、公共管理理论与实务、战略管理与管理咨询、财务报告分析、公共预算与政府会计、业财融合与财务共享、企业税收筹划、国家审计实务案例、内部审计实务案例、注册会计师审计实务案例、大数据财务分析与决策、财政金融理论</w:t>
      </w:r>
      <w:r>
        <w:rPr>
          <w:rFonts w:hint="eastAsia" w:ascii="宋体" w:hAnsi="宋体" w:eastAsia="宋体" w:cs="Times New Roman"/>
          <w:sz w:val="24"/>
          <w:szCs w:val="20"/>
        </w:rPr>
        <w:t>与政策、RPA 财务机器人应用、数智化审计、公共政策分析与评价、Python程序设计等。</w:t>
      </w:r>
    </w:p>
    <w:p>
      <w:pPr>
        <w:rPr>
          <w:rFonts w:ascii="宋体" w:hAnsi="宋体" w:eastAsia="宋体" w:cs="Times New Roman"/>
          <w:sz w:val="24"/>
          <w:szCs w:val="20"/>
        </w:rPr>
      </w:pPr>
    </w:p>
    <w:p>
      <w:pPr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0"/>
        </w:rPr>
        <w:t>就业方向:</w:t>
      </w:r>
      <w:r>
        <w:rPr>
          <w:rFonts w:hint="eastAsia" w:ascii="宋体" w:hAnsi="宋体" w:eastAsia="宋体" w:cs="Times New Roman"/>
          <w:sz w:val="24"/>
          <w:szCs w:val="20"/>
        </w:rPr>
        <w:t>在政府部门、企业、事业单位、会计师事务所、咨询公司等单位从事国家审计、内部审计、注册会计师审计、管理咨询等工作。</w:t>
      </w:r>
    </w:p>
    <w:p>
      <w:pPr>
        <w:rPr>
          <w:rFonts w:ascii="宋体" w:hAnsi="宋体" w:eastAsia="宋体" w:cs="Times New Roman"/>
          <w:sz w:val="24"/>
          <w:szCs w:val="20"/>
        </w:rPr>
      </w:pPr>
    </w:p>
    <w:p>
      <w:pPr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0"/>
        </w:rPr>
        <w:t>研究方向:</w:t>
      </w:r>
      <w:r>
        <w:rPr>
          <w:rFonts w:hint="eastAsia" w:ascii="宋体" w:hAnsi="宋体" w:eastAsia="宋体" w:cs="Times New Roman"/>
          <w:sz w:val="24"/>
          <w:szCs w:val="20"/>
        </w:rPr>
        <w:t>国家审计与公共治理、内部审计与管理咨询、注册会计师审计与信息披露、信息系统审计。</w:t>
      </w:r>
    </w:p>
    <w:p>
      <w:pPr>
        <w:adjustRightInd w:val="0"/>
        <w:snapToGrid w:val="0"/>
        <w:rPr>
          <w:rFonts w:ascii="宋体" w:hAnsi="宋体" w:eastAsia="宋体" w:cs="Times New Roman"/>
          <w:color w:val="000000"/>
          <w:sz w:val="24"/>
          <w:szCs w:val="20"/>
        </w:rPr>
      </w:pPr>
      <w:r>
        <w:rPr>
          <w:rFonts w:hint="eastAsia" w:ascii="宋体" w:hAnsi="宋体" w:eastAsia="宋体" w:cs="Times New Roman"/>
          <w:color w:val="000000"/>
          <w:sz w:val="24"/>
          <w:szCs w:val="20"/>
        </w:rPr>
        <w:t>  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000000"/>
          <w:sz w:val="24"/>
          <w:szCs w:val="20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0"/>
        </w:rPr>
        <w:t>专业代码：</w:t>
      </w:r>
      <w:r>
        <w:rPr>
          <w:rFonts w:ascii="宋体" w:hAnsi="宋体" w:eastAsia="宋体" w:cs="Times New Roman"/>
          <w:b/>
          <w:bCs/>
          <w:color w:val="000000"/>
          <w:sz w:val="24"/>
          <w:szCs w:val="20"/>
        </w:rPr>
        <w:t>1</w:t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0"/>
        </w:rPr>
        <w:t>25700          咨询电话： 020-</w:t>
      </w:r>
      <w:r>
        <w:rPr>
          <w:rFonts w:ascii="宋体" w:hAnsi="宋体" w:eastAsia="宋体" w:cs="Times New Roman"/>
          <w:b/>
          <w:bCs/>
          <w:color w:val="000000"/>
          <w:sz w:val="24"/>
          <w:szCs w:val="20"/>
        </w:rPr>
        <w:t>84095629</w:t>
      </w:r>
    </w:p>
    <w:tbl>
      <w:tblPr>
        <w:tblStyle w:val="8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7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研究方向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初试科目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国家审计与公共治理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（1）▲管理类联考综合能力（200分）</w:t>
            </w:r>
          </w:p>
          <w:p>
            <w:pPr>
              <w:pStyle w:val="6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（2）▲英语二（100分）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bCs/>
              </w:rPr>
            </w:pPr>
            <w:bookmarkStart w:id="0" w:name="_Hlk514055487"/>
            <w:r>
              <w:rPr>
                <w:rFonts w:hint="eastAsia" w:asciiTheme="minorEastAsia" w:hAnsiTheme="minorEastAsia" w:cstheme="minorEastAsia"/>
                <w:bCs/>
              </w:rPr>
              <w:t>F530-审计综合知识</w:t>
            </w:r>
            <w:bookmarkEnd w:id="0"/>
            <w:r>
              <w:rPr>
                <w:rFonts w:hint="eastAsia" w:asciiTheme="minorEastAsia" w:hAnsiTheme="minorEastAsia" w:cstheme="minorEastAsia"/>
                <w:bCs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内部审计与管理咨询</w:t>
            </w:r>
          </w:p>
        </w:tc>
        <w:tc>
          <w:tcPr>
            <w:tcW w:w="2976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注册会计师审计与信息披露</w:t>
            </w:r>
          </w:p>
        </w:tc>
        <w:tc>
          <w:tcPr>
            <w:tcW w:w="2976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信息系统审计</w:t>
            </w:r>
          </w:p>
        </w:tc>
        <w:tc>
          <w:tcPr>
            <w:tcW w:w="2976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_GB2312" w:hAnsi="宋体" w:eastAsia="仿宋_GB2312" w:cs="Times New Roman"/>
          <w:b/>
          <w:bCs/>
          <w:color w:val="000000"/>
          <w:sz w:val="24"/>
          <w:szCs w:val="2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0"/>
        </w:rPr>
        <w:t>▲表示统考科目或联考科目，考试题型、考试大纲以教育部公布为准。其他为自命题科目。</w:t>
      </w:r>
    </w:p>
    <w:p>
      <w:pPr>
        <w:adjustRightInd w:val="0"/>
        <w:snapToGrid w:val="0"/>
        <w:rPr>
          <w:rFonts w:ascii="仿宋_GB2312" w:hAnsi="宋体" w:eastAsia="仿宋_GB2312" w:cs="Times New Roman"/>
          <w:b/>
          <w:bCs/>
          <w:color w:val="000000"/>
          <w:sz w:val="24"/>
          <w:szCs w:val="20"/>
        </w:rPr>
      </w:pPr>
    </w:p>
    <w:p>
      <w:pPr>
        <w:adjustRightInd w:val="0"/>
        <w:snapToGrid w:val="0"/>
        <w:rPr>
          <w:rFonts w:ascii="宋体" w:hAnsi="宋体" w:eastAsia="宋体" w:cs="宋体"/>
          <w:b/>
          <w:color w:val="000000"/>
          <w:kern w:val="0"/>
          <w:sz w:val="24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0"/>
        </w:rPr>
        <w:t>考试题型及相应分值：</w:t>
      </w:r>
    </w:p>
    <w:p>
      <w:pPr>
        <w:adjustRightInd w:val="0"/>
        <w:snapToGrid w:val="0"/>
        <w:rPr>
          <w:rFonts w:ascii="宋体" w:hAnsi="宋体" w:eastAsia="宋体" w:cs="宋体"/>
          <w:b/>
          <w:color w:val="000000"/>
          <w:kern w:val="0"/>
          <w:sz w:val="24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0"/>
        </w:rPr>
        <w:t>《审计综合知识》</w:t>
      </w: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  <w:b w:val="0"/>
          <w:bCs/>
        </w:rPr>
      </w:pPr>
      <w:r>
        <w:rPr>
          <w:rFonts w:hint="eastAsia" w:ascii="宋体" w:hAnsi="宋体" w:eastAsia="宋体" w:cstheme="minorEastAsia"/>
          <w:bCs/>
        </w:rPr>
        <w:t>《审计综合知识》100分（含财务会计和审计）。其中：财务会计（占40%），审计（占60%）。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（1）名词解释（5题，每题3分，共15分）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（2）简答题（3题，每题5分，共15分）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（3）实务题（4题，每题10分，共40分）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（4）论述题（2题，每题15分，共30分）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</w:p>
    <w:p>
      <w:pPr>
        <w:adjustRightInd w:val="0"/>
        <w:snapToGrid w:val="0"/>
        <w:rPr>
          <w:rFonts w:ascii="宋体" w:hAnsi="宋体" w:eastAsia="宋体" w:cs="宋体"/>
          <w:bCs/>
          <w:sz w:val="24"/>
          <w:szCs w:val="32"/>
        </w:rPr>
      </w:pPr>
      <w:r>
        <w:rPr>
          <w:rFonts w:hint="eastAsia" w:ascii="宋体" w:hAnsi="宋体" w:eastAsia="宋体" w:cs="宋体"/>
          <w:bCs/>
          <w:sz w:val="24"/>
          <w:szCs w:val="32"/>
        </w:rPr>
        <w:t>参考书目：</w:t>
      </w:r>
    </w:p>
    <w:p>
      <w:pPr>
        <w:adjustRightInd w:val="0"/>
        <w:snapToGrid w:val="0"/>
        <w:rPr>
          <w:rFonts w:ascii="宋体" w:hAnsi="宋体" w:eastAsia="宋体" w:cs="Times New Roman"/>
          <w:bCs/>
          <w:sz w:val="24"/>
          <w:szCs w:val="32"/>
        </w:rPr>
      </w:pPr>
      <w:r>
        <w:rPr>
          <w:rFonts w:ascii="宋体" w:hAnsi="宋体" w:eastAsia="宋体" w:cs="Times New Roman"/>
          <w:bCs/>
          <w:sz w:val="24"/>
          <w:szCs w:val="32"/>
        </w:rPr>
        <w:t>刘永泽、陈立军：《中级财务会计》</w:t>
      </w:r>
      <w:r>
        <w:rPr>
          <w:rFonts w:hint="eastAsia" w:ascii="宋体" w:hAnsi="宋体" w:eastAsia="宋体" w:cs="Times New Roman"/>
          <w:bCs/>
          <w:sz w:val="24"/>
          <w:szCs w:val="32"/>
        </w:rPr>
        <w:t>7</w:t>
      </w:r>
      <w:r>
        <w:rPr>
          <w:rFonts w:ascii="宋体" w:hAnsi="宋体" w:eastAsia="宋体" w:cs="Times New Roman"/>
          <w:bCs/>
          <w:sz w:val="24"/>
          <w:szCs w:val="32"/>
        </w:rPr>
        <w:t>版，东北财经大学出版社，20</w:t>
      </w:r>
      <w:r>
        <w:rPr>
          <w:rFonts w:hint="eastAsia" w:ascii="宋体" w:hAnsi="宋体" w:eastAsia="宋体" w:cs="Times New Roman"/>
          <w:bCs/>
          <w:sz w:val="24"/>
          <w:szCs w:val="32"/>
        </w:rPr>
        <w:t>21</w:t>
      </w:r>
      <w:r>
        <w:rPr>
          <w:rFonts w:ascii="宋体" w:hAnsi="宋体" w:eastAsia="宋体" w:cs="Times New Roman"/>
          <w:bCs/>
          <w:sz w:val="24"/>
          <w:szCs w:val="32"/>
        </w:rPr>
        <w:t>年</w:t>
      </w:r>
    </w:p>
    <w:p>
      <w:pPr>
        <w:adjustRightInd w:val="0"/>
        <w:snapToGrid w:val="0"/>
        <w:rPr>
          <w:rFonts w:ascii="宋体" w:hAnsi="宋体" w:eastAsia="宋体" w:cs="Times New Roman"/>
          <w:bCs/>
          <w:sz w:val="24"/>
          <w:szCs w:val="32"/>
        </w:rPr>
      </w:pPr>
      <w:r>
        <w:rPr>
          <w:rFonts w:ascii="宋体" w:hAnsi="宋体" w:eastAsia="宋体" w:cs="Times New Roman"/>
          <w:bCs/>
          <w:sz w:val="24"/>
          <w:szCs w:val="32"/>
        </w:rPr>
        <w:t>刘明辉</w:t>
      </w:r>
      <w:r>
        <w:rPr>
          <w:rFonts w:hint="eastAsia" w:ascii="宋体" w:hAnsi="宋体" w:eastAsia="宋体" w:cs="Times New Roman"/>
          <w:bCs/>
          <w:sz w:val="24"/>
          <w:szCs w:val="32"/>
        </w:rPr>
        <w:t>、</w:t>
      </w:r>
      <w:r>
        <w:rPr>
          <w:rFonts w:ascii="宋体" w:hAnsi="宋体" w:eastAsia="宋体" w:cs="Times New Roman"/>
          <w:bCs/>
          <w:sz w:val="24"/>
          <w:szCs w:val="32"/>
        </w:rPr>
        <w:t>史德刚：《审计》7版，东北财经大学出版社，2019年</w:t>
      </w:r>
    </w:p>
    <w:p>
      <w:pPr>
        <w:adjustRightInd w:val="0"/>
        <w:snapToGrid w:val="0"/>
        <w:rPr>
          <w:rFonts w:ascii="宋体" w:hAnsi="宋体" w:eastAsia="宋体" w:cs="宋体"/>
          <w:bCs/>
          <w:sz w:val="24"/>
          <w:szCs w:val="32"/>
        </w:rPr>
      </w:pPr>
    </w:p>
    <w:p>
      <w:pPr>
        <w:pStyle w:val="6"/>
        <w:widowControl/>
        <w:spacing w:beforeAutospacing="0" w:afterAutospacing="0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 w:cs="宋体"/>
          <w:bCs/>
          <w:szCs w:val="32"/>
        </w:rPr>
        <w:t>同等学力加试科目：</w:t>
      </w:r>
      <w:r>
        <w:rPr>
          <w:rFonts w:ascii="宋体" w:hAnsi="宋体" w:eastAsia="宋体"/>
          <w:bCs/>
          <w:szCs w:val="32"/>
        </w:rPr>
        <w:t>1.中级财务会计学（100分）  2.</w:t>
      </w:r>
      <w:r>
        <w:rPr>
          <w:rFonts w:hint="eastAsia" w:ascii="宋体" w:hAnsi="宋体" w:eastAsia="宋体"/>
          <w:bCs/>
          <w:szCs w:val="32"/>
        </w:rPr>
        <w:t>审计学</w:t>
      </w:r>
      <w:r>
        <w:rPr>
          <w:rFonts w:ascii="宋体" w:hAnsi="宋体" w:eastAsia="宋体"/>
          <w:bCs/>
          <w:szCs w:val="32"/>
        </w:rPr>
        <w:t>（100分）</w:t>
      </w:r>
    </w:p>
    <w:p>
      <w:pPr>
        <w:pStyle w:val="6"/>
        <w:widowControl/>
        <w:spacing w:beforeAutospacing="0" w:afterAutospacing="0"/>
        <w:rPr>
          <w:rFonts w:ascii="宋体" w:hAnsi="宋体" w:eastAsia="宋体"/>
          <w:bCs/>
          <w:szCs w:val="32"/>
        </w:rPr>
      </w:pP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《</w:t>
      </w:r>
      <w:bookmarkStart w:id="1" w:name="_GoBack"/>
      <w:bookmarkEnd w:id="1"/>
      <w:r>
        <w:rPr>
          <w:rStyle w:val="10"/>
          <w:rFonts w:hint="eastAsia" w:ascii="宋体" w:hAnsi="宋体" w:eastAsia="宋体" w:cstheme="minorEastAsia"/>
        </w:rPr>
        <w:t>政治》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《政治》100分。</w:t>
      </w: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  <w:b w:val="0"/>
          <w:bCs/>
        </w:rPr>
      </w:pP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考试大纲</w:t>
      </w:r>
    </w:p>
    <w:p>
      <w:pPr>
        <w:adjustRightInd w:val="0"/>
        <w:snapToGrid w:val="0"/>
        <w:jc w:val="center"/>
        <w:rPr>
          <w:rFonts w:ascii="黑体" w:hAnsi="宋体" w:eastAsia="黑体" w:cs="Times New Roman"/>
          <w:b/>
          <w:sz w:val="36"/>
          <w:szCs w:val="21"/>
        </w:rPr>
      </w:pPr>
      <w:r>
        <w:rPr>
          <w:rFonts w:hint="eastAsia" w:ascii="黑体" w:hAnsi="宋体" w:eastAsia="黑体" w:cs="Times New Roman"/>
          <w:b/>
          <w:sz w:val="36"/>
          <w:szCs w:val="21"/>
        </w:rPr>
        <w:t>《审计综合知识》</w:t>
      </w: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  <w:b w:val="0"/>
          <w:bCs/>
        </w:rPr>
      </w:pPr>
    </w:p>
    <w:p>
      <w:pPr>
        <w:pStyle w:val="6"/>
        <w:widowControl/>
        <w:spacing w:beforeAutospacing="0" w:afterAutospacing="0"/>
        <w:ind w:firstLine="120" w:firstLineChars="5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《审计综合知识》考试大纲概述：</w:t>
      </w:r>
    </w:p>
    <w:p>
      <w:pPr>
        <w:pStyle w:val="6"/>
        <w:widowControl/>
        <w:spacing w:beforeAutospacing="0" w:afterAutospacing="0"/>
        <w:ind w:firstLine="42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本科目考试内容包括财务会计和审计两大部分。考试内容包括以下知识点：</w:t>
      </w:r>
    </w:p>
    <w:p>
      <w:pPr>
        <w:pStyle w:val="6"/>
        <w:widowControl/>
        <w:spacing w:beforeAutospacing="0" w:afterAutospacing="0"/>
        <w:ind w:firstLine="420"/>
        <w:rPr>
          <w:rFonts w:ascii="宋体" w:hAnsi="宋体" w:eastAsia="宋体" w:cstheme="minorEastAsia"/>
          <w:bCs/>
        </w:rPr>
      </w:pP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第一部分</w:t>
      </w:r>
      <w:r>
        <w:rPr>
          <w:rStyle w:val="10"/>
          <w:rFonts w:ascii="宋体" w:hAnsi="宋体" w:eastAsia="宋体" w:cstheme="minorEastAsia"/>
        </w:rPr>
        <w:t xml:space="preserve">  </w:t>
      </w:r>
      <w:r>
        <w:rPr>
          <w:rStyle w:val="10"/>
          <w:rFonts w:hint="eastAsia" w:ascii="宋体" w:hAnsi="宋体" w:eastAsia="宋体" w:cstheme="minorEastAsia"/>
        </w:rPr>
        <w:t>财务会计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一、</w:t>
      </w:r>
      <w:r>
        <w:rPr>
          <w:rFonts w:hint="eastAsia" w:ascii="Verdana" w:hAnsi="Verdana" w:eastAsia="宋体" w:cs="宋体"/>
          <w:b/>
          <w:color w:val="333333"/>
          <w:shd w:val="clear" w:color="auto" w:fill="FFFFFF"/>
        </w:rPr>
        <w:t>总论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财务会计报告的目标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会计基本假设与会计基础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会计信息质量要求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会计要素及其确认与计量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财务会计报告的组成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二、金融资产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金融资产及其分类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交易性金融资产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债权投资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应收款项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其他金融工具投资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金融资产的重分类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金融资产减值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三、存货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存货的确认和初始计量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发出存货成本的计量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期末存货的计量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四、长期股权投资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长期股权投资的确认和初始计量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长期股权投资的后续计量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五、固定资产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固定资产的确认和初始计量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固定资产的后续计量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固定资产的处置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六、无形资产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无形资产的确认和初始计量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内部研究与开发支出的确认和计量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无形资产的后续计量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无形资产的处置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七、负债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流动负债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非流动负债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八、所有者权益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实收资本（股本）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资本公积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其他综合收益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留存收益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九、收入、费用和利润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收入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费用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直接计入当期利润的利得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直接计入当期利润的损失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利润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十、财务报告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财务报告概述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资产负债表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利润表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现金流量表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所有者权益变动表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附注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十一、或有事项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或有事项概述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或有事项的确认和计量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或有事项的列报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/>
          <w:bCs/>
        </w:rPr>
      </w:pPr>
      <w:r>
        <w:rPr>
          <w:rFonts w:hint="eastAsia"/>
          <w:b/>
          <w:bCs/>
        </w:rPr>
        <w:t>十二、资产负债表日后事项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资产负债表日后事项概述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调整事项的会计处理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非调整事项的会计处理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十三、会计政策、会计估计变更和差错更正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会计政策及其变更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会计估计及其变更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前期差错及其更正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 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第二部分</w:t>
      </w:r>
      <w:r>
        <w:rPr>
          <w:rStyle w:val="10"/>
          <w:rFonts w:ascii="宋体" w:hAnsi="宋体" w:eastAsia="宋体" w:cstheme="minorEastAsia"/>
        </w:rPr>
        <w:t xml:space="preserve">  </w:t>
      </w:r>
      <w:r>
        <w:rPr>
          <w:rStyle w:val="10"/>
          <w:rFonts w:hint="eastAsia" w:ascii="宋体" w:hAnsi="宋体" w:eastAsia="宋体" w:cstheme="minorEastAsia"/>
        </w:rPr>
        <w:t>审计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一、总论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审计的定义和特征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审计的职能和作用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审计的分类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审计准则、职业道德和法律责任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二、财务报表审计的核心概念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审计目标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重要性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审计风险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审计证据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审计程序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三、财务报表审计的思路和步骤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风险导向审计的基本思路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风险评估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控制测试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实质性程序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四、主要业务循环的审计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销售与收款循环的审计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采购与付款循环的审计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生产与职工薪酬循环的审计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筹资与投资循环的审计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货币资金与特殊项目的审计</w:t>
      </w:r>
    </w:p>
    <w:p>
      <w:pPr>
        <w:pStyle w:val="6"/>
        <w:widowControl/>
        <w:spacing w:beforeAutospacing="0" w:afterAutospacing="0"/>
        <w:rPr>
          <w:rFonts w:ascii="宋体" w:hAnsi="宋体" w:eastAsia="宋体" w:cstheme="minorEastAsia"/>
        </w:rPr>
      </w:pPr>
      <w:r>
        <w:rPr>
          <w:rStyle w:val="10"/>
          <w:rFonts w:hint="eastAsia" w:ascii="宋体" w:hAnsi="宋体" w:eastAsia="宋体" w:cstheme="minorEastAsia"/>
        </w:rPr>
        <w:t>五、审计报告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审计意见的形成和类型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标准审计报告的结构和内容</w:t>
      </w:r>
    </w:p>
    <w:p>
      <w:pPr>
        <w:pStyle w:val="6"/>
        <w:widowControl/>
        <w:spacing w:beforeAutospacing="0" w:afterAutospacing="0"/>
        <w:ind w:firstLine="480" w:firstLineChars="200"/>
        <w:rPr>
          <w:rFonts w:ascii="宋体" w:hAnsi="宋体" w:eastAsia="宋体" w:cstheme="minorEastAsia"/>
          <w:bCs/>
        </w:rPr>
      </w:pPr>
      <w:r>
        <w:rPr>
          <w:rFonts w:hint="eastAsia" w:ascii="宋体" w:hAnsi="宋体" w:eastAsia="宋体" w:cstheme="minorEastAsia"/>
          <w:bCs/>
        </w:rPr>
        <w:t>非标准审计报告的结构和内容</w:t>
      </w:r>
    </w:p>
    <w:p>
      <w:pPr>
        <w:pStyle w:val="6"/>
        <w:widowControl/>
        <w:spacing w:beforeAutospacing="0" w:afterAutospacing="0"/>
        <w:rPr>
          <w:rStyle w:val="10"/>
          <w:rFonts w:ascii="宋体" w:hAnsi="宋体" w:eastAsia="宋体" w:cstheme="minorEastAsia"/>
          <w:b w:val="0"/>
          <w:bCs/>
          <w:sz w:val="21"/>
          <w:szCs w:val="22"/>
        </w:rPr>
      </w:pPr>
    </w:p>
    <w:p>
      <w:pPr>
        <w:pStyle w:val="6"/>
        <w:widowControl/>
        <w:spacing w:beforeAutospacing="0" w:afterAutospacing="0"/>
        <w:jc w:val="center"/>
        <w:rPr>
          <w:rFonts w:ascii="黑体" w:eastAsia="黑体"/>
          <w:b/>
          <w:bCs/>
          <w:kern w:val="2"/>
          <w:sz w:val="36"/>
          <w:szCs w:val="21"/>
        </w:rPr>
      </w:pPr>
      <w:r>
        <w:rPr>
          <w:rFonts w:hint="eastAsia" w:ascii="黑体" w:eastAsia="黑体"/>
          <w:b/>
          <w:bCs/>
          <w:kern w:val="2"/>
          <w:sz w:val="36"/>
          <w:szCs w:val="21"/>
        </w:rPr>
        <w:t>《政治》</w:t>
      </w:r>
    </w:p>
    <w:p>
      <w:pPr>
        <w:adjustRightInd w:val="0"/>
        <w:snapToGrid w:val="0"/>
        <w:ind w:firstLine="120" w:firstLineChars="50"/>
        <w:rPr>
          <w:rFonts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《政治》考试大纲概述：</w:t>
      </w:r>
    </w:p>
    <w:p>
      <w:pPr>
        <w:widowControl/>
        <w:snapToGrid w:val="0"/>
        <w:ind w:firstLine="480" w:firstLineChars="200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从复试试题中抽取题目，限时回答（2-3分钟），考察考生政治观点和政治敏感性。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15886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OGVjZDgwMjI3NzdiYzY2OWI0OWMxMGRkZmExNjUifQ=="/>
  </w:docVars>
  <w:rsids>
    <w:rsidRoot w:val="55646910"/>
    <w:rsid w:val="000311E0"/>
    <w:rsid w:val="000A4C93"/>
    <w:rsid w:val="000F3DC2"/>
    <w:rsid w:val="00194C64"/>
    <w:rsid w:val="001D770D"/>
    <w:rsid w:val="00256E45"/>
    <w:rsid w:val="00277AD4"/>
    <w:rsid w:val="002D32EB"/>
    <w:rsid w:val="00427998"/>
    <w:rsid w:val="004279DE"/>
    <w:rsid w:val="004C3A98"/>
    <w:rsid w:val="005050B2"/>
    <w:rsid w:val="00541516"/>
    <w:rsid w:val="005B6D46"/>
    <w:rsid w:val="005C361E"/>
    <w:rsid w:val="005D1500"/>
    <w:rsid w:val="006156A3"/>
    <w:rsid w:val="006C30B5"/>
    <w:rsid w:val="007271C0"/>
    <w:rsid w:val="00761ABF"/>
    <w:rsid w:val="00767C45"/>
    <w:rsid w:val="00813EBE"/>
    <w:rsid w:val="00831BF6"/>
    <w:rsid w:val="008F205B"/>
    <w:rsid w:val="009A307B"/>
    <w:rsid w:val="00A34240"/>
    <w:rsid w:val="00A4471E"/>
    <w:rsid w:val="00AB0B89"/>
    <w:rsid w:val="00AE5F1E"/>
    <w:rsid w:val="00B22BA0"/>
    <w:rsid w:val="00B43A40"/>
    <w:rsid w:val="00B5236A"/>
    <w:rsid w:val="00BE5E4D"/>
    <w:rsid w:val="00C3124C"/>
    <w:rsid w:val="00C63FEE"/>
    <w:rsid w:val="00D43155"/>
    <w:rsid w:val="00DB2762"/>
    <w:rsid w:val="00E526DA"/>
    <w:rsid w:val="00FB2128"/>
    <w:rsid w:val="00FD5855"/>
    <w:rsid w:val="02B823ED"/>
    <w:rsid w:val="04122567"/>
    <w:rsid w:val="04E86B91"/>
    <w:rsid w:val="07230354"/>
    <w:rsid w:val="08163A15"/>
    <w:rsid w:val="0898267C"/>
    <w:rsid w:val="09CF1CB0"/>
    <w:rsid w:val="0C1F29C0"/>
    <w:rsid w:val="0CCD41F9"/>
    <w:rsid w:val="0D1A5D55"/>
    <w:rsid w:val="0D5C636E"/>
    <w:rsid w:val="0F367C99"/>
    <w:rsid w:val="0F73799F"/>
    <w:rsid w:val="0FA1745E"/>
    <w:rsid w:val="10D97CD5"/>
    <w:rsid w:val="123553DF"/>
    <w:rsid w:val="123E225E"/>
    <w:rsid w:val="13251343"/>
    <w:rsid w:val="15151BF1"/>
    <w:rsid w:val="17E32854"/>
    <w:rsid w:val="17FD5D01"/>
    <w:rsid w:val="18BF5A03"/>
    <w:rsid w:val="1E19662D"/>
    <w:rsid w:val="1E6037E4"/>
    <w:rsid w:val="22857CBD"/>
    <w:rsid w:val="29253D42"/>
    <w:rsid w:val="29A733FA"/>
    <w:rsid w:val="2B377027"/>
    <w:rsid w:val="2B5F61B3"/>
    <w:rsid w:val="2C363E6E"/>
    <w:rsid w:val="333252F7"/>
    <w:rsid w:val="342A2472"/>
    <w:rsid w:val="34A037EB"/>
    <w:rsid w:val="34B3013E"/>
    <w:rsid w:val="34F07218"/>
    <w:rsid w:val="34FE040B"/>
    <w:rsid w:val="365B4BC1"/>
    <w:rsid w:val="38FE1BD6"/>
    <w:rsid w:val="3DFF227A"/>
    <w:rsid w:val="3E880185"/>
    <w:rsid w:val="435A16E1"/>
    <w:rsid w:val="441C531E"/>
    <w:rsid w:val="457205A8"/>
    <w:rsid w:val="45F244D8"/>
    <w:rsid w:val="47C673CD"/>
    <w:rsid w:val="49B34071"/>
    <w:rsid w:val="49B91E77"/>
    <w:rsid w:val="4C6A38FC"/>
    <w:rsid w:val="4EC15329"/>
    <w:rsid w:val="4EC66460"/>
    <w:rsid w:val="4FD572DE"/>
    <w:rsid w:val="52D25D57"/>
    <w:rsid w:val="55646910"/>
    <w:rsid w:val="5803061E"/>
    <w:rsid w:val="58BA3515"/>
    <w:rsid w:val="59CF2FF0"/>
    <w:rsid w:val="5A233BCC"/>
    <w:rsid w:val="5A902780"/>
    <w:rsid w:val="5D9A24B6"/>
    <w:rsid w:val="5F6F62A4"/>
    <w:rsid w:val="60EA2C29"/>
    <w:rsid w:val="63413EC7"/>
    <w:rsid w:val="63DF6526"/>
    <w:rsid w:val="6443084B"/>
    <w:rsid w:val="65580084"/>
    <w:rsid w:val="668161D2"/>
    <w:rsid w:val="66960A63"/>
    <w:rsid w:val="677E1BB2"/>
    <w:rsid w:val="68243ABF"/>
    <w:rsid w:val="68F4269F"/>
    <w:rsid w:val="6B3B5AA8"/>
    <w:rsid w:val="6BA0201D"/>
    <w:rsid w:val="6D535020"/>
    <w:rsid w:val="6EBF31DC"/>
    <w:rsid w:val="748E0D37"/>
    <w:rsid w:val="74A013B9"/>
    <w:rsid w:val="7594264D"/>
    <w:rsid w:val="76480717"/>
    <w:rsid w:val="77260891"/>
    <w:rsid w:val="77E6244C"/>
    <w:rsid w:val="780E61B5"/>
    <w:rsid w:val="790F1A12"/>
    <w:rsid w:val="7A794B87"/>
    <w:rsid w:val="7D513B99"/>
    <w:rsid w:val="7D7B2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lstar197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Hewlett-Packard Company</Company>
  <Pages>5</Pages>
  <Words>369</Words>
  <Characters>2105</Characters>
  <Lines>17</Lines>
  <Paragraphs>4</Paragraphs>
  <TotalTime>7</TotalTime>
  <ScaleCrop>false</ScaleCrop>
  <LinksUpToDate>false</LinksUpToDate>
  <CharactersWithSpaces>2470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2022-09-16T06:37:00Z</dcterms:created>
  <dc:creator>cjlstar</dc:creator>
  <cp:lastModifiedBy>~ing</cp:lastModifiedBy>
  <cp:lastPrinted>2020-06-16T08:19:00Z</cp:lastPrinted>
  <dcterms:modified xsi:type="dcterms:W3CDTF">2023-09-18T07:07:57Z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FC08C02BCD954A08A13776F4E2E2CCC0_13</vt:lpwstr>
  </property>
</Properties>
</file>